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726" w:rsidRPr="00D3481F" w:rsidRDefault="007F7726" w:rsidP="00D3481F">
      <w:pPr>
        <w:rPr>
          <w:rFonts w:ascii="Times New Roman" w:hAnsi="Times New Roman" w:cs="Times New Roman"/>
        </w:rPr>
      </w:pPr>
      <w:bookmarkStart w:id="0" w:name="_GoBack"/>
      <w:bookmarkEnd w:id="0"/>
    </w:p>
    <w:p w:rsidR="007A4070" w:rsidRPr="00D3481F" w:rsidRDefault="007A4070" w:rsidP="00D3481F"/>
    <w:p w:rsidR="007A4070" w:rsidRPr="00D3481F" w:rsidRDefault="007F7726" w:rsidP="00D3481F">
      <w:pPr>
        <w:pStyle w:val="DecHCase"/>
      </w:pPr>
      <w:r w:rsidRPr="00D3481F">
        <w:t>PREMIÈRE SECTION</w:t>
      </w:r>
    </w:p>
    <w:p w:rsidR="007A4070" w:rsidRPr="00D3481F" w:rsidRDefault="007A4070" w:rsidP="00D3481F">
      <w:pPr>
        <w:pStyle w:val="JuTitle"/>
      </w:pPr>
      <w:r w:rsidRPr="00D3481F">
        <w:t xml:space="preserve">AFFAIRE </w:t>
      </w:r>
      <w:r w:rsidR="007F7726" w:rsidRPr="00D3481F">
        <w:t>A.T. c. ITALIE</w:t>
      </w:r>
    </w:p>
    <w:p w:rsidR="007A4070" w:rsidRPr="00D3481F" w:rsidRDefault="007A4070" w:rsidP="00D3481F">
      <w:pPr>
        <w:pStyle w:val="ECHRCoverTitle4"/>
      </w:pPr>
      <w:r w:rsidRPr="00D3481F">
        <w:t>(</w:t>
      </w:r>
      <w:r w:rsidR="007F7726" w:rsidRPr="00D3481F">
        <w:t>Requête n</w:t>
      </w:r>
      <w:r w:rsidR="007F7726" w:rsidRPr="00D3481F">
        <w:rPr>
          <w:vertAlign w:val="superscript"/>
        </w:rPr>
        <w:t>o</w:t>
      </w:r>
      <w:r w:rsidRPr="00D3481F">
        <w:t xml:space="preserve"> </w:t>
      </w:r>
      <w:r w:rsidR="007F7726" w:rsidRPr="00D3481F">
        <w:t>40910/19</w:t>
      </w:r>
      <w:r w:rsidRPr="00D3481F">
        <w:t>)</w:t>
      </w:r>
    </w:p>
    <w:p w:rsidR="007A4070" w:rsidRPr="00D3481F" w:rsidRDefault="007A4070" w:rsidP="00D3481F">
      <w:pPr>
        <w:pStyle w:val="DecHCase"/>
      </w:pPr>
    </w:p>
    <w:p w:rsidR="007A4070" w:rsidRPr="00D3481F" w:rsidRDefault="007A4070" w:rsidP="00D3481F">
      <w:pPr>
        <w:pStyle w:val="DecHCase"/>
      </w:pPr>
    </w:p>
    <w:p w:rsidR="007A4070" w:rsidRPr="00D3481F" w:rsidRDefault="007A4070" w:rsidP="00D3481F">
      <w:pPr>
        <w:pStyle w:val="DecHCase"/>
      </w:pPr>
    </w:p>
    <w:p w:rsidR="007A4070" w:rsidRPr="00D3481F" w:rsidRDefault="007A4070" w:rsidP="00D3481F">
      <w:pPr>
        <w:pStyle w:val="DecHCase"/>
      </w:pPr>
      <w:r w:rsidRPr="00D3481F">
        <w:t>ARRÊT</w:t>
      </w:r>
      <w:r w:rsidRPr="00D3481F">
        <w:br/>
      </w:r>
    </w:p>
    <w:p w:rsidR="002E312D" w:rsidRPr="00D3481F" w:rsidRDefault="002E312D" w:rsidP="00D3481F">
      <w:pPr>
        <w:pStyle w:val="JuPara"/>
        <w:pBdr>
          <w:top w:val="single" w:sz="4" w:space="1" w:color="auto"/>
          <w:left w:val="single" w:sz="4" w:space="4" w:color="auto"/>
          <w:bottom w:val="single" w:sz="4" w:space="1" w:color="auto"/>
          <w:right w:val="single" w:sz="4" w:space="4" w:color="auto"/>
        </w:pBdr>
        <w:ind w:firstLine="0"/>
      </w:pPr>
      <w:r w:rsidRPr="00D3481F">
        <w:t>Art 8 • Vie familiale • Absence d</w:t>
      </w:r>
      <w:r w:rsidR="00D3481F" w:rsidRPr="00D3481F">
        <w:t>’</w:t>
      </w:r>
      <w:r w:rsidRPr="00D3481F">
        <w:t>efforts adéquats, suffisants et rapides des autorités nationales pour faire respecter le droit de visite du requérant judiciairement prononcé • Opposition de la mère de l</w:t>
      </w:r>
      <w:r w:rsidR="00D3481F" w:rsidRPr="00D3481F">
        <w:t>’</w:t>
      </w:r>
      <w:r w:rsidRPr="00D3481F">
        <w:t>enfant</w:t>
      </w:r>
    </w:p>
    <w:p w:rsidR="002E312D" w:rsidRPr="00D3481F" w:rsidRDefault="002E312D" w:rsidP="00D3481F">
      <w:pPr>
        <w:pStyle w:val="JuPara"/>
        <w:spacing w:after="120"/>
      </w:pPr>
    </w:p>
    <w:p w:rsidR="007A4070" w:rsidRPr="00D3481F" w:rsidRDefault="007A4070" w:rsidP="00D3481F">
      <w:pPr>
        <w:pStyle w:val="DecHCase"/>
      </w:pPr>
      <w:r w:rsidRPr="00D3481F">
        <w:t>STRASBOURG</w:t>
      </w:r>
    </w:p>
    <w:p w:rsidR="007A4070" w:rsidRPr="00D3481F" w:rsidRDefault="007F7726" w:rsidP="00D3481F">
      <w:pPr>
        <w:pStyle w:val="DecHCase"/>
      </w:pPr>
      <w:r w:rsidRPr="00D3481F">
        <w:t>24 juin 2021</w:t>
      </w:r>
    </w:p>
    <w:p w:rsidR="007A4070" w:rsidRPr="00D3481F" w:rsidRDefault="007A4070" w:rsidP="00D3481F">
      <w:pPr>
        <w:pStyle w:val="DecHCase"/>
      </w:pPr>
    </w:p>
    <w:p w:rsidR="00CB06E9" w:rsidRPr="00D3481F" w:rsidRDefault="00CB06E9" w:rsidP="00D3481F">
      <w:pPr>
        <w:pStyle w:val="JuPara"/>
      </w:pPr>
    </w:p>
    <w:p w:rsidR="00CB06E9" w:rsidRPr="00D3481F" w:rsidRDefault="00CB06E9" w:rsidP="00D3481F">
      <w:pPr>
        <w:pStyle w:val="JuPara"/>
      </w:pPr>
    </w:p>
    <w:p w:rsidR="00CB06E9" w:rsidRPr="00D3481F" w:rsidRDefault="00CB06E9" w:rsidP="00D3481F">
      <w:pPr>
        <w:pStyle w:val="JuPara"/>
      </w:pPr>
    </w:p>
    <w:p w:rsidR="00CB06E9" w:rsidRPr="00D3481F" w:rsidRDefault="00CB06E9" w:rsidP="00D3481F">
      <w:pPr>
        <w:pStyle w:val="JuPara"/>
      </w:pPr>
    </w:p>
    <w:p w:rsidR="00516B59" w:rsidRPr="00D3481F" w:rsidRDefault="007A4070" w:rsidP="00D3481F">
      <w:pPr>
        <w:rPr>
          <w:rFonts w:ascii="Times New Roman" w:hAnsi="Times New Roman" w:cs="Times New Roman"/>
          <w:i/>
          <w:sz w:val="22"/>
        </w:rPr>
      </w:pPr>
      <w:r w:rsidRPr="00D3481F">
        <w:rPr>
          <w:i/>
          <w:sz w:val="22"/>
        </w:rPr>
        <w:t xml:space="preserve">Cet arrêt </w:t>
      </w:r>
      <w:r w:rsidR="007F7726" w:rsidRPr="00D3481F">
        <w:rPr>
          <w:i/>
          <w:sz w:val="22"/>
        </w:rPr>
        <w:t>deviendra définitif dans les conditions définies à l</w:t>
      </w:r>
      <w:r w:rsidR="00D3481F" w:rsidRPr="00D3481F">
        <w:rPr>
          <w:i/>
          <w:sz w:val="22"/>
        </w:rPr>
        <w:t>’</w:t>
      </w:r>
      <w:r w:rsidR="007F7726" w:rsidRPr="00D3481F">
        <w:rPr>
          <w:i/>
          <w:sz w:val="22"/>
        </w:rPr>
        <w:t>article 44 § 2 de la Convention</w:t>
      </w:r>
      <w:r w:rsidRPr="00D3481F">
        <w:rPr>
          <w:i/>
          <w:sz w:val="22"/>
        </w:rPr>
        <w:t>. Il peut subir des retouches de fo</w:t>
      </w:r>
      <w:r w:rsidR="00516B59" w:rsidRPr="00D3481F">
        <w:rPr>
          <w:rFonts w:ascii="Times New Roman" w:hAnsi="Times New Roman" w:cs="Times New Roman"/>
          <w:i/>
          <w:sz w:val="22"/>
        </w:rPr>
        <w:t>rme.</w:t>
      </w:r>
    </w:p>
    <w:p w:rsidR="00516B59" w:rsidRPr="00D3481F" w:rsidRDefault="00516B59" w:rsidP="00D3481F">
      <w:pPr>
        <w:ind w:left="720"/>
        <w:rPr>
          <w:rFonts w:ascii="Times New Roman" w:hAnsi="Times New Roman" w:cs="Times New Roman"/>
          <w:sz w:val="22"/>
        </w:rPr>
      </w:pPr>
    </w:p>
    <w:p w:rsidR="002E312D" w:rsidRPr="00D3481F" w:rsidRDefault="002E312D" w:rsidP="00D3481F">
      <w:pPr>
        <w:ind w:left="720"/>
        <w:rPr>
          <w:rFonts w:ascii="Times New Roman" w:hAnsi="Times New Roman" w:cs="Times New Roman"/>
          <w:sz w:val="22"/>
        </w:rPr>
        <w:sectPr w:rsidR="002E312D" w:rsidRPr="00D3481F" w:rsidSect="00902601">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004344E6" w:rsidRPr="00D3481F" w:rsidRDefault="004344E6" w:rsidP="00D3481F">
      <w:pPr>
        <w:pStyle w:val="JuCase"/>
      </w:pPr>
      <w:r w:rsidRPr="00D3481F">
        <w:lastRenderedPageBreak/>
        <w:t>En l</w:t>
      </w:r>
      <w:r w:rsidR="00D3481F" w:rsidRPr="00D3481F">
        <w:t>’</w:t>
      </w:r>
      <w:r w:rsidRPr="00D3481F">
        <w:t xml:space="preserve">affaire </w:t>
      </w:r>
      <w:r w:rsidR="007F7726" w:rsidRPr="00D3481F">
        <w:t>A.T. c. Italie</w:t>
      </w:r>
      <w:r w:rsidRPr="00D3481F">
        <w:t>,</w:t>
      </w:r>
    </w:p>
    <w:p w:rsidR="004344E6" w:rsidRPr="00D3481F" w:rsidRDefault="004344E6" w:rsidP="00D3481F">
      <w:pPr>
        <w:pStyle w:val="JuPara"/>
      </w:pPr>
      <w:r w:rsidRPr="00D3481F">
        <w:t>La Cour européenne des droits de l</w:t>
      </w:r>
      <w:r w:rsidR="00D3481F" w:rsidRPr="00D3481F">
        <w:t>’</w:t>
      </w:r>
      <w:r w:rsidRPr="00D3481F">
        <w:t>homme (</w:t>
      </w:r>
      <w:r w:rsidR="007F7726" w:rsidRPr="00D3481F">
        <w:t>première section</w:t>
      </w:r>
      <w:r w:rsidRPr="00D3481F">
        <w:t xml:space="preserve">), siégeant en </w:t>
      </w:r>
      <w:r w:rsidR="007F7726" w:rsidRPr="00D3481F">
        <w:rPr>
          <w:color w:val="000000"/>
        </w:rPr>
        <w:t>une</w:t>
      </w:r>
      <w:r w:rsidR="007F7726" w:rsidRPr="00D3481F">
        <w:t xml:space="preserve"> Chambre composée</w:t>
      </w:r>
      <w:r w:rsidRPr="00D3481F">
        <w:t xml:space="preserve"> de :</w:t>
      </w:r>
    </w:p>
    <w:p w:rsidR="00187B9F" w:rsidRPr="00D3481F" w:rsidRDefault="00187B9F" w:rsidP="00D3481F">
      <w:pPr>
        <w:pStyle w:val="JuJudges"/>
        <w:jc w:val="both"/>
        <w:rPr>
          <w:i/>
        </w:rPr>
      </w:pPr>
      <w:r w:rsidRPr="00D3481F">
        <w:tab/>
        <w:t>Ksenija Turković,</w:t>
      </w:r>
      <w:r w:rsidRPr="00D3481F">
        <w:rPr>
          <w:i/>
        </w:rPr>
        <w:t xml:space="preserve"> présidente,</w:t>
      </w:r>
    </w:p>
    <w:p w:rsidR="00187B9F" w:rsidRPr="00D3481F" w:rsidRDefault="00187B9F" w:rsidP="00D3481F">
      <w:pPr>
        <w:pStyle w:val="JuJudges"/>
        <w:jc w:val="both"/>
      </w:pPr>
      <w:r w:rsidRPr="00D3481F">
        <w:tab/>
        <w:t>Krzysztof Wojtyczek,</w:t>
      </w:r>
    </w:p>
    <w:p w:rsidR="00187B9F" w:rsidRPr="00D3481F" w:rsidRDefault="00187B9F" w:rsidP="00D3481F">
      <w:pPr>
        <w:pStyle w:val="JuJudges"/>
        <w:jc w:val="both"/>
      </w:pPr>
      <w:r w:rsidRPr="00D3481F">
        <w:tab/>
        <w:t>Alena Poláčková,</w:t>
      </w:r>
    </w:p>
    <w:p w:rsidR="00187B9F" w:rsidRPr="00D3481F" w:rsidRDefault="00187B9F" w:rsidP="00D3481F">
      <w:pPr>
        <w:pStyle w:val="JuJudges"/>
        <w:jc w:val="both"/>
      </w:pPr>
      <w:r w:rsidRPr="00D3481F">
        <w:tab/>
        <w:t>Péter Paczolay,</w:t>
      </w:r>
    </w:p>
    <w:p w:rsidR="00187B9F" w:rsidRPr="00D3481F" w:rsidRDefault="00187B9F" w:rsidP="00D3481F">
      <w:pPr>
        <w:pStyle w:val="JuJudges"/>
        <w:jc w:val="both"/>
      </w:pPr>
      <w:r w:rsidRPr="00D3481F">
        <w:tab/>
        <w:t>Raffaele Sabato,</w:t>
      </w:r>
    </w:p>
    <w:p w:rsidR="00187B9F" w:rsidRPr="00D3481F" w:rsidRDefault="00187B9F" w:rsidP="00D3481F">
      <w:pPr>
        <w:pStyle w:val="JuJudges"/>
        <w:jc w:val="both"/>
      </w:pPr>
      <w:r w:rsidRPr="00D3481F">
        <w:tab/>
        <w:t>Lorraine Schembri Orland,</w:t>
      </w:r>
    </w:p>
    <w:p w:rsidR="00187B9F" w:rsidRPr="00D3481F" w:rsidRDefault="00187B9F" w:rsidP="00D3481F">
      <w:pPr>
        <w:pStyle w:val="JuJudges"/>
        <w:jc w:val="both"/>
        <w:rPr>
          <w:i/>
        </w:rPr>
      </w:pPr>
      <w:r w:rsidRPr="00D3481F">
        <w:tab/>
        <w:t>Ioannis Ktistakis,</w:t>
      </w:r>
      <w:r w:rsidRPr="00D3481F">
        <w:rPr>
          <w:i/>
        </w:rPr>
        <w:t xml:space="preserve"> juges,</w:t>
      </w:r>
    </w:p>
    <w:p w:rsidR="004344E6" w:rsidRPr="00D3481F" w:rsidRDefault="004344E6" w:rsidP="00D3481F">
      <w:pPr>
        <w:pStyle w:val="JuJudges"/>
        <w:jc w:val="both"/>
      </w:pPr>
      <w:proofErr w:type="gramStart"/>
      <w:r w:rsidRPr="00D3481F">
        <w:t>et</w:t>
      </w:r>
      <w:proofErr w:type="gramEnd"/>
      <w:r w:rsidRPr="00D3481F">
        <w:t xml:space="preserve"> de </w:t>
      </w:r>
      <w:r w:rsidR="007F7726" w:rsidRPr="00D3481F">
        <w:t>Renata Degener</w:t>
      </w:r>
      <w:r w:rsidRPr="00D3481F">
        <w:t xml:space="preserve">, </w:t>
      </w:r>
      <w:r w:rsidR="007F7726" w:rsidRPr="00D3481F">
        <w:rPr>
          <w:i/>
        </w:rPr>
        <w:t>greffière</w:t>
      </w:r>
      <w:r w:rsidR="007F7726" w:rsidRPr="00D3481F">
        <w:rPr>
          <w:iCs/>
        </w:rPr>
        <w:t xml:space="preserve"> </w:t>
      </w:r>
      <w:r w:rsidR="007F7726" w:rsidRPr="00D3481F">
        <w:rPr>
          <w:i/>
          <w:iCs/>
        </w:rPr>
        <w:t>d</w:t>
      </w:r>
      <w:r w:rsidR="007F7726" w:rsidRPr="00D3481F">
        <w:rPr>
          <w:i/>
        </w:rPr>
        <w:t>e section</w:t>
      </w:r>
      <w:r w:rsidRPr="00D3481F">
        <w:t>,</w:t>
      </w:r>
    </w:p>
    <w:p w:rsidR="007F7726" w:rsidRPr="00D3481F" w:rsidRDefault="007F7726" w:rsidP="00D3481F">
      <w:pPr>
        <w:pStyle w:val="JuPara"/>
      </w:pPr>
      <w:bookmarkStart w:id="1" w:name="ITMARKHavingStart"/>
      <w:bookmarkEnd w:id="1"/>
      <w:r w:rsidRPr="00D3481F">
        <w:t>Vu :</w:t>
      </w:r>
    </w:p>
    <w:p w:rsidR="007F7726" w:rsidRPr="00D3481F" w:rsidRDefault="007F7726" w:rsidP="00D3481F">
      <w:pPr>
        <w:pStyle w:val="JuPara"/>
      </w:pPr>
      <w:proofErr w:type="gramStart"/>
      <w:r w:rsidRPr="00D3481F">
        <w:t>la</w:t>
      </w:r>
      <w:proofErr w:type="gramEnd"/>
      <w:r w:rsidRPr="00D3481F">
        <w:t xml:space="preserve"> requête (n</w:t>
      </w:r>
      <w:r w:rsidRPr="00D3481F">
        <w:rPr>
          <w:vertAlign w:val="superscript"/>
        </w:rPr>
        <w:t>o</w:t>
      </w:r>
      <w:r w:rsidRPr="00D3481F">
        <w:t xml:space="preserve"> 40910/19) dirigée contre la République italienne et dont un ressortissant italien, A.T. (« le requérant ») a </w:t>
      </w:r>
      <w:bookmarkStart w:id="2" w:name="_Hlk36124016"/>
      <w:r w:rsidRPr="00D3481F">
        <w:t>saisi la Cour en vertu de l</w:t>
      </w:r>
      <w:r w:rsidR="00D3481F" w:rsidRPr="00D3481F">
        <w:t>’</w:t>
      </w:r>
      <w:r w:rsidRPr="00D3481F">
        <w:t>article 34 de la Convention de sauvegarde des droits de l</w:t>
      </w:r>
      <w:r w:rsidR="00D3481F" w:rsidRPr="00D3481F">
        <w:t>’</w:t>
      </w:r>
      <w:r w:rsidRPr="00D3481F">
        <w:t>homme et des libertés fondamentales (« la Convention »)</w:t>
      </w:r>
      <w:bookmarkEnd w:id="2"/>
      <w:r w:rsidRPr="00D3481F">
        <w:t xml:space="preserve"> le 23 juillet 2019,</w:t>
      </w:r>
    </w:p>
    <w:p w:rsidR="007F7726" w:rsidRPr="00D3481F" w:rsidRDefault="007F7726" w:rsidP="00D3481F">
      <w:pPr>
        <w:pStyle w:val="JuPara"/>
      </w:pPr>
      <w:proofErr w:type="gramStart"/>
      <w:r w:rsidRPr="00D3481F">
        <w:t>la</w:t>
      </w:r>
      <w:proofErr w:type="gramEnd"/>
      <w:r w:rsidRPr="00D3481F">
        <w:t xml:space="preserve"> décision de porter la requête à la connaissance du gouvernement italien (« le Gouvernement »),</w:t>
      </w:r>
    </w:p>
    <w:p w:rsidR="007F7726" w:rsidRPr="00D3481F" w:rsidRDefault="007F7726" w:rsidP="00D3481F">
      <w:pPr>
        <w:pStyle w:val="JuPara"/>
      </w:pPr>
      <w:proofErr w:type="gramStart"/>
      <w:r w:rsidRPr="00D3481F">
        <w:t>la</w:t>
      </w:r>
      <w:proofErr w:type="gramEnd"/>
      <w:r w:rsidRPr="00D3481F">
        <w:t xml:space="preserve"> décision de ne pas dévoiler l</w:t>
      </w:r>
      <w:r w:rsidR="00D3481F" w:rsidRPr="00D3481F">
        <w:t>’</w:t>
      </w:r>
      <w:r w:rsidRPr="00D3481F">
        <w:t>identité du requérant,</w:t>
      </w:r>
    </w:p>
    <w:p w:rsidR="007F7726" w:rsidRPr="00D3481F" w:rsidRDefault="007F7726" w:rsidP="00D3481F">
      <w:pPr>
        <w:pStyle w:val="JuPara"/>
      </w:pPr>
      <w:proofErr w:type="gramStart"/>
      <w:r w:rsidRPr="00D3481F">
        <w:t>les</w:t>
      </w:r>
      <w:proofErr w:type="gramEnd"/>
      <w:r w:rsidRPr="00D3481F">
        <w:t xml:space="preserve"> observations des parties,</w:t>
      </w:r>
    </w:p>
    <w:p w:rsidR="004344E6" w:rsidRPr="00D3481F" w:rsidRDefault="004344E6" w:rsidP="00D3481F">
      <w:pPr>
        <w:pStyle w:val="JuPara"/>
      </w:pPr>
      <w:r w:rsidRPr="00D3481F">
        <w:t xml:space="preserve">Après en avoir délibéré en chambre du conseil le </w:t>
      </w:r>
      <w:r w:rsidR="007F7726" w:rsidRPr="00D3481F">
        <w:t>18 mai 2021</w:t>
      </w:r>
      <w:r w:rsidRPr="00D3481F">
        <w:t>,</w:t>
      </w:r>
    </w:p>
    <w:p w:rsidR="00876F03" w:rsidRPr="00D3481F" w:rsidRDefault="004344E6" w:rsidP="00D3481F">
      <w:pPr>
        <w:pStyle w:val="JuPara"/>
      </w:pPr>
      <w:r w:rsidRPr="00D3481F">
        <w:t>Rend l</w:t>
      </w:r>
      <w:r w:rsidR="00D3481F" w:rsidRPr="00D3481F">
        <w:t>’</w:t>
      </w:r>
      <w:r w:rsidRPr="00D3481F">
        <w:t>arrêt que voici</w:t>
      </w:r>
      <w:r w:rsidR="00876F03" w:rsidRPr="00D3481F">
        <w:t>, adopté à cette date :</w:t>
      </w:r>
    </w:p>
    <w:p w:rsidR="007F7726" w:rsidRPr="00D3481F" w:rsidRDefault="007F7726" w:rsidP="00D3481F">
      <w:pPr>
        <w:pStyle w:val="JuHHead"/>
      </w:pPr>
      <w:r w:rsidRPr="00D3481F">
        <w:t>INTRODUCTION</w:t>
      </w:r>
    </w:p>
    <w:p w:rsidR="007F7726" w:rsidRPr="00D3481F" w:rsidRDefault="007F7726" w:rsidP="00D3481F">
      <w:pPr>
        <w:pStyle w:val="JuPara"/>
        <w:rPr>
          <w:rFonts w:ascii="Times New Roman" w:hAnsi="Times New Roman" w:cs="Times New Roman"/>
          <w:color w:val="000000"/>
        </w:rPr>
      </w:pPr>
      <w:r w:rsidRPr="00D3481F">
        <w:fldChar w:fldCharType="begin"/>
      </w:r>
      <w:r w:rsidRPr="00D3481F">
        <w:instrText xml:space="preserve"> SEQ level0 \*arabic </w:instrText>
      </w:r>
      <w:r w:rsidRPr="00D3481F">
        <w:fldChar w:fldCharType="separate"/>
      </w:r>
      <w:r w:rsidR="00D3481F" w:rsidRPr="00D3481F">
        <w:rPr>
          <w:noProof/>
        </w:rPr>
        <w:t>1</w:t>
      </w:r>
      <w:r w:rsidRPr="00D3481F">
        <w:fldChar w:fldCharType="end"/>
      </w:r>
      <w:r w:rsidRPr="00D3481F">
        <w:t>.  </w:t>
      </w:r>
      <w:r w:rsidRPr="00D3481F">
        <w:rPr>
          <w:rFonts w:ascii="Times New Roman" w:hAnsi="Times New Roman" w:cs="Times New Roman"/>
          <w:color w:val="000000"/>
        </w:rPr>
        <w:t>La requête concerne l</w:t>
      </w:r>
      <w:r w:rsidR="00D3481F" w:rsidRPr="00D3481F">
        <w:rPr>
          <w:rFonts w:ascii="Times New Roman" w:hAnsi="Times New Roman" w:cs="Times New Roman"/>
          <w:color w:val="000000"/>
        </w:rPr>
        <w:t>’</w:t>
      </w:r>
      <w:r w:rsidRPr="00D3481F">
        <w:rPr>
          <w:rFonts w:ascii="Times New Roman" w:hAnsi="Times New Roman" w:cs="Times New Roman"/>
          <w:color w:val="000000"/>
        </w:rPr>
        <w:t>impossibilité alléguée par le requérant d</w:t>
      </w:r>
      <w:r w:rsidR="00D3481F" w:rsidRPr="00D3481F">
        <w:rPr>
          <w:rFonts w:ascii="Times New Roman" w:hAnsi="Times New Roman" w:cs="Times New Roman"/>
          <w:color w:val="000000"/>
        </w:rPr>
        <w:t>’</w:t>
      </w:r>
      <w:r w:rsidRPr="00D3481F">
        <w:rPr>
          <w:rFonts w:ascii="Times New Roman" w:hAnsi="Times New Roman" w:cs="Times New Roman"/>
          <w:color w:val="000000"/>
        </w:rPr>
        <w:t>exercer son droit de visite à l</w:t>
      </w:r>
      <w:r w:rsidR="00D3481F" w:rsidRPr="00D3481F">
        <w:rPr>
          <w:rFonts w:ascii="Times New Roman" w:hAnsi="Times New Roman" w:cs="Times New Roman"/>
          <w:color w:val="000000"/>
        </w:rPr>
        <w:t>’</w:t>
      </w:r>
      <w:r w:rsidRPr="00D3481F">
        <w:rPr>
          <w:rFonts w:ascii="Times New Roman" w:hAnsi="Times New Roman" w:cs="Times New Roman"/>
          <w:color w:val="000000"/>
        </w:rPr>
        <w:t>égard de son fils et de voir celui-ci dans les conditions fixées par les tribunaux. L</w:t>
      </w:r>
      <w:r w:rsidR="00D3481F" w:rsidRPr="00D3481F">
        <w:rPr>
          <w:rFonts w:ascii="Times New Roman" w:hAnsi="Times New Roman" w:cs="Times New Roman"/>
          <w:color w:val="000000"/>
        </w:rPr>
        <w:t>’</w:t>
      </w:r>
      <w:r w:rsidRPr="00D3481F">
        <w:rPr>
          <w:rFonts w:ascii="Times New Roman" w:hAnsi="Times New Roman" w:cs="Times New Roman"/>
          <w:color w:val="000000"/>
        </w:rPr>
        <w:t>intéressé se plaint d</w:t>
      </w:r>
      <w:r w:rsidR="00D3481F" w:rsidRPr="00D3481F">
        <w:rPr>
          <w:rFonts w:ascii="Times New Roman" w:hAnsi="Times New Roman" w:cs="Times New Roman"/>
          <w:color w:val="000000"/>
        </w:rPr>
        <w:t>’</w:t>
      </w:r>
      <w:r w:rsidRPr="00D3481F">
        <w:rPr>
          <w:rFonts w:ascii="Times New Roman" w:hAnsi="Times New Roman" w:cs="Times New Roman"/>
          <w:color w:val="000000"/>
        </w:rPr>
        <w:t>une violation de son droit au respect de sa vie familiale.</w:t>
      </w:r>
    </w:p>
    <w:p w:rsidR="007F7726" w:rsidRPr="00D3481F" w:rsidRDefault="007F7726" w:rsidP="00D3481F">
      <w:pPr>
        <w:pStyle w:val="JuHHead"/>
      </w:pPr>
      <w:bookmarkStart w:id="3" w:name="_Hlk36126677"/>
      <w:r w:rsidRPr="00D3481F">
        <w:t>EN FAIT</w:t>
      </w:r>
    </w:p>
    <w:bookmarkEnd w:id="3"/>
    <w:p w:rsidR="007F7726" w:rsidRPr="00D3481F" w:rsidRDefault="007F7726" w:rsidP="00D3481F">
      <w:pPr>
        <w:pStyle w:val="JuPara"/>
      </w:pPr>
      <w:r w:rsidRPr="00D3481F">
        <w:fldChar w:fldCharType="begin"/>
      </w:r>
      <w:r w:rsidRPr="00D3481F">
        <w:instrText xml:space="preserve"> SEQ level0 \*arabic </w:instrText>
      </w:r>
      <w:r w:rsidRPr="00D3481F">
        <w:fldChar w:fldCharType="separate"/>
      </w:r>
      <w:r w:rsidR="00D3481F" w:rsidRPr="00D3481F">
        <w:rPr>
          <w:noProof/>
        </w:rPr>
        <w:t>2</w:t>
      </w:r>
      <w:r w:rsidRPr="00D3481F">
        <w:fldChar w:fldCharType="end"/>
      </w:r>
      <w:r w:rsidRPr="00D3481F">
        <w:t>.  Le requérant est né en 1969 et réside à Z.B., en Italie. Il a été représenté par M</w:t>
      </w:r>
      <w:r w:rsidRPr="00D3481F">
        <w:rPr>
          <w:vertAlign w:val="superscript"/>
        </w:rPr>
        <w:t>es</w:t>
      </w:r>
      <w:r w:rsidRPr="00D3481F">
        <w:t> M. Picco et E. Nardoni, avocats à Udine.</w:t>
      </w:r>
    </w:p>
    <w:p w:rsidR="007F7726" w:rsidRPr="00D3481F" w:rsidRDefault="007F7726" w:rsidP="00D3481F">
      <w:pPr>
        <w:pStyle w:val="JuPara"/>
      </w:pPr>
      <w:r w:rsidRPr="00D3481F">
        <w:fldChar w:fldCharType="begin"/>
      </w:r>
      <w:r w:rsidRPr="00D3481F">
        <w:instrText xml:space="preserve"> SEQ level0 \*arabic </w:instrText>
      </w:r>
      <w:r w:rsidRPr="00D3481F">
        <w:fldChar w:fldCharType="separate"/>
      </w:r>
      <w:r w:rsidR="00D3481F" w:rsidRPr="00D3481F">
        <w:rPr>
          <w:noProof/>
        </w:rPr>
        <w:t>3</w:t>
      </w:r>
      <w:r w:rsidRPr="00D3481F">
        <w:fldChar w:fldCharType="end"/>
      </w:r>
      <w:r w:rsidRPr="00D3481F">
        <w:t>.  </w:t>
      </w:r>
      <w:bookmarkStart w:id="4" w:name="_Hlk36127123"/>
      <w:r w:rsidRPr="00D3481F">
        <w:t>Le Gouvernement a été représenté par son agent, M. L. D</w:t>
      </w:r>
      <w:r w:rsidR="00D3481F" w:rsidRPr="00D3481F">
        <w:t>’</w:t>
      </w:r>
      <w:r w:rsidRPr="00D3481F">
        <w:t>Ascia, avocat de l</w:t>
      </w:r>
      <w:r w:rsidR="00D3481F" w:rsidRPr="00D3481F">
        <w:t>’</w:t>
      </w:r>
      <w:r w:rsidRPr="00D3481F">
        <w:t>État.</w:t>
      </w:r>
      <w:bookmarkEnd w:id="4"/>
    </w:p>
    <w:p w:rsidR="007F7726" w:rsidRPr="00D3481F" w:rsidRDefault="007F7726" w:rsidP="00D3481F">
      <w:pPr>
        <w:pStyle w:val="JuPara"/>
        <w:rPr>
          <w:rFonts w:ascii="Times New Roman" w:hAnsi="Times New Roman" w:cs="Times New Roman"/>
          <w:color w:val="000000"/>
        </w:rPr>
      </w:pPr>
      <w:r w:rsidRPr="00D3481F">
        <w:fldChar w:fldCharType="begin"/>
      </w:r>
      <w:r w:rsidRPr="00D3481F">
        <w:instrText xml:space="preserve"> SEQ level0 \*arabic </w:instrText>
      </w:r>
      <w:r w:rsidRPr="00D3481F">
        <w:fldChar w:fldCharType="separate"/>
      </w:r>
      <w:r w:rsidR="00D3481F" w:rsidRPr="00D3481F">
        <w:rPr>
          <w:noProof/>
        </w:rPr>
        <w:t>4</w:t>
      </w:r>
      <w:r w:rsidRPr="00D3481F">
        <w:fldChar w:fldCharType="end"/>
      </w:r>
      <w:r w:rsidRPr="00D3481F">
        <w:t>.  </w:t>
      </w:r>
      <w:r w:rsidRPr="00D3481F">
        <w:rPr>
          <w:rFonts w:ascii="Times New Roman" w:hAnsi="Times New Roman" w:cs="Times New Roman"/>
          <w:color w:val="000000"/>
        </w:rPr>
        <w:t>De l</w:t>
      </w:r>
      <w:r w:rsidR="00D3481F" w:rsidRPr="00D3481F">
        <w:rPr>
          <w:rFonts w:ascii="Times New Roman" w:hAnsi="Times New Roman" w:cs="Times New Roman"/>
          <w:color w:val="000000"/>
        </w:rPr>
        <w:t>’</w:t>
      </w:r>
      <w:r w:rsidRPr="00D3481F">
        <w:rPr>
          <w:rFonts w:ascii="Times New Roman" w:hAnsi="Times New Roman" w:cs="Times New Roman"/>
          <w:color w:val="000000"/>
        </w:rPr>
        <w:t>union entre le requérant et L.R. naquit un garçon, M.T., le 12 février 2014. Le 19 avril 2014, L.R. quitta le domicile familial avec l</w:t>
      </w:r>
      <w:r w:rsidR="00D3481F" w:rsidRPr="00D3481F">
        <w:rPr>
          <w:rFonts w:ascii="Times New Roman" w:hAnsi="Times New Roman" w:cs="Times New Roman"/>
          <w:color w:val="000000"/>
        </w:rPr>
        <w:t>’</w:t>
      </w:r>
      <w:r w:rsidRPr="00D3481F">
        <w:rPr>
          <w:rFonts w:ascii="Times New Roman" w:hAnsi="Times New Roman" w:cs="Times New Roman"/>
          <w:color w:val="000000"/>
        </w:rPr>
        <w:t>enfant, sans le consentement du requérant.</w:t>
      </w:r>
    </w:p>
    <w:p w:rsidR="007F7726" w:rsidRPr="00D3481F" w:rsidRDefault="007F7726" w:rsidP="00D3481F">
      <w:pPr>
        <w:pStyle w:val="JuPara"/>
        <w:rPr>
          <w:rFonts w:ascii="Times New Roman" w:hAnsi="Times New Roman" w:cs="Times New Roman"/>
          <w:color w:val="000000"/>
        </w:rPr>
      </w:pPr>
      <w:r w:rsidRPr="00D3481F">
        <w:rPr>
          <w:rFonts w:ascii="Times New Roman" w:hAnsi="Times New Roman" w:cs="Times New Roman"/>
          <w:color w:val="000000"/>
        </w:rPr>
        <w:fldChar w:fldCharType="begin"/>
      </w:r>
      <w:r w:rsidRPr="00D3481F">
        <w:rPr>
          <w:rFonts w:ascii="Times New Roman" w:hAnsi="Times New Roman" w:cs="Times New Roman"/>
          <w:color w:val="000000"/>
        </w:rPr>
        <w:instrText xml:space="preserve"> SEQ level0 \*arabic </w:instrText>
      </w:r>
      <w:r w:rsidRPr="00D3481F">
        <w:rPr>
          <w:rFonts w:ascii="Times New Roman" w:hAnsi="Times New Roman" w:cs="Times New Roman"/>
          <w:color w:val="000000"/>
        </w:rPr>
        <w:fldChar w:fldCharType="separate"/>
      </w:r>
      <w:r w:rsidR="00D3481F" w:rsidRPr="00D3481F">
        <w:rPr>
          <w:rFonts w:ascii="Times New Roman" w:hAnsi="Times New Roman" w:cs="Times New Roman"/>
          <w:noProof/>
          <w:color w:val="000000"/>
        </w:rPr>
        <w:t>5</w:t>
      </w:r>
      <w:r w:rsidRPr="00D3481F">
        <w:rPr>
          <w:rFonts w:ascii="Times New Roman" w:hAnsi="Times New Roman" w:cs="Times New Roman"/>
          <w:color w:val="000000"/>
        </w:rPr>
        <w:fldChar w:fldCharType="end"/>
      </w:r>
      <w:r w:rsidRPr="00D3481F">
        <w:rPr>
          <w:rFonts w:ascii="Times New Roman" w:hAnsi="Times New Roman" w:cs="Times New Roman"/>
          <w:color w:val="000000"/>
        </w:rPr>
        <w:t>.  Le 17 octobre 2014, le requérant déposa une plainte contre L.R. pour le délit de soustraction d</w:t>
      </w:r>
      <w:r w:rsidR="00D3481F" w:rsidRPr="00D3481F">
        <w:rPr>
          <w:rFonts w:ascii="Times New Roman" w:hAnsi="Times New Roman" w:cs="Times New Roman"/>
          <w:color w:val="000000"/>
        </w:rPr>
        <w:t>’</w:t>
      </w:r>
      <w:r w:rsidRPr="00D3481F">
        <w:rPr>
          <w:rFonts w:ascii="Times New Roman" w:hAnsi="Times New Roman" w:cs="Times New Roman"/>
          <w:color w:val="000000"/>
        </w:rPr>
        <w:t>enfant.</w:t>
      </w:r>
    </w:p>
    <w:p w:rsidR="007F7726" w:rsidRPr="00D3481F" w:rsidRDefault="007F7726" w:rsidP="00D3481F">
      <w:pPr>
        <w:pStyle w:val="JuPara"/>
      </w:pPr>
      <w:r w:rsidRPr="00D3481F">
        <w:fldChar w:fldCharType="begin"/>
      </w:r>
      <w:r w:rsidRPr="00D3481F">
        <w:instrText xml:space="preserve"> SEQ level0 \*arabic </w:instrText>
      </w:r>
      <w:r w:rsidRPr="00D3481F">
        <w:fldChar w:fldCharType="separate"/>
      </w:r>
      <w:r w:rsidR="00D3481F" w:rsidRPr="00D3481F">
        <w:rPr>
          <w:noProof/>
        </w:rPr>
        <w:t>6</w:t>
      </w:r>
      <w:r w:rsidRPr="00D3481F">
        <w:fldChar w:fldCharType="end"/>
      </w:r>
      <w:r w:rsidRPr="00D3481F">
        <w:t xml:space="preserve">.  Le 29 janvier 2015, le requérant saisit le tribunal de Trévise sur le fondement des articles 315 et 317 </w:t>
      </w:r>
      <w:r w:rsidRPr="00D3481F">
        <w:rPr>
          <w:i/>
        </w:rPr>
        <w:t>bis</w:t>
      </w:r>
      <w:r w:rsidRPr="00D3481F">
        <w:t xml:space="preserve"> du code civil. Il se plaignait de difficultés dans l</w:t>
      </w:r>
      <w:r w:rsidR="00D3481F" w:rsidRPr="00D3481F">
        <w:t>’</w:t>
      </w:r>
      <w:r w:rsidRPr="00D3481F">
        <w:t>exercice de son droit de visite.</w:t>
      </w:r>
    </w:p>
    <w:p w:rsidR="007F7726" w:rsidRPr="00D3481F" w:rsidRDefault="007F7726" w:rsidP="00D3481F">
      <w:pPr>
        <w:pStyle w:val="JuPara"/>
      </w:pPr>
      <w:r w:rsidRPr="00D3481F">
        <w:lastRenderedPageBreak/>
        <w:fldChar w:fldCharType="begin"/>
      </w:r>
      <w:r w:rsidRPr="00D3481F">
        <w:instrText xml:space="preserve"> SEQ level0 \*arabic </w:instrText>
      </w:r>
      <w:r w:rsidRPr="00D3481F">
        <w:fldChar w:fldCharType="separate"/>
      </w:r>
      <w:r w:rsidR="00D3481F" w:rsidRPr="00D3481F">
        <w:rPr>
          <w:noProof/>
        </w:rPr>
        <w:t>7</w:t>
      </w:r>
      <w:r w:rsidRPr="00D3481F">
        <w:fldChar w:fldCharType="end"/>
      </w:r>
      <w:r w:rsidRPr="00D3481F">
        <w:t>.  Le 1</w:t>
      </w:r>
      <w:r w:rsidRPr="00D3481F">
        <w:rPr>
          <w:vertAlign w:val="superscript"/>
        </w:rPr>
        <w:t>er</w:t>
      </w:r>
      <w:r w:rsidRPr="00D3481F">
        <w:t xml:space="preserve"> mai 2015, le requérant déposa une autre plainte au motif que L.R. l</w:t>
      </w:r>
      <w:r w:rsidR="00D3481F" w:rsidRPr="00D3481F">
        <w:t>’</w:t>
      </w:r>
      <w:r w:rsidRPr="00D3481F">
        <w:t>empêchait de voir l</w:t>
      </w:r>
      <w:r w:rsidR="00D3481F" w:rsidRPr="00D3481F">
        <w:t>’</w:t>
      </w:r>
      <w:r w:rsidRPr="00D3481F">
        <w:t>enfant.</w:t>
      </w:r>
    </w:p>
    <w:p w:rsidR="007F7726" w:rsidRPr="00D3481F" w:rsidRDefault="007F7726" w:rsidP="00D3481F">
      <w:pPr>
        <w:pStyle w:val="JuPara"/>
      </w:pPr>
      <w:r w:rsidRPr="00D3481F">
        <w:fldChar w:fldCharType="begin"/>
      </w:r>
      <w:r w:rsidRPr="00D3481F">
        <w:instrText xml:space="preserve"> SEQ level0 \*arabic </w:instrText>
      </w:r>
      <w:r w:rsidRPr="00D3481F">
        <w:fldChar w:fldCharType="separate"/>
      </w:r>
      <w:r w:rsidR="00D3481F" w:rsidRPr="00D3481F">
        <w:rPr>
          <w:noProof/>
        </w:rPr>
        <w:t>8</w:t>
      </w:r>
      <w:r w:rsidRPr="00D3481F">
        <w:fldChar w:fldCharType="end"/>
      </w:r>
      <w:r w:rsidRPr="00D3481F">
        <w:t>.  Le 29 mars 2016, le rapport rédigé à l</w:t>
      </w:r>
      <w:r w:rsidR="00D3481F" w:rsidRPr="00D3481F">
        <w:t>’</w:t>
      </w:r>
      <w:r w:rsidRPr="00D3481F">
        <w:t>issue d</w:t>
      </w:r>
      <w:r w:rsidR="00D3481F" w:rsidRPr="00D3481F">
        <w:t>’</w:t>
      </w:r>
      <w:r w:rsidRPr="00D3481F">
        <w:t>une expertise qui avait été effectuée sur l</w:t>
      </w:r>
      <w:r w:rsidR="00D3481F" w:rsidRPr="00D3481F">
        <w:t>’</w:t>
      </w:r>
      <w:r w:rsidRPr="00D3481F">
        <w:t>enfant et les parents fut déposé au greffe. Selon l</w:t>
      </w:r>
      <w:r w:rsidR="00D3481F" w:rsidRPr="00D3481F">
        <w:t>’</w:t>
      </w:r>
      <w:r w:rsidRPr="00D3481F">
        <w:t>expert, l</w:t>
      </w:r>
      <w:r w:rsidR="00D3481F" w:rsidRPr="00D3481F">
        <w:t>’</w:t>
      </w:r>
      <w:r w:rsidRPr="00D3481F">
        <w:t>enfant subissait les conséquences délétères d</w:t>
      </w:r>
      <w:r w:rsidR="00D3481F" w:rsidRPr="00D3481F">
        <w:t>’</w:t>
      </w:r>
      <w:r w:rsidRPr="00D3481F">
        <w:t>une privation de contact avec son père pendant les trois premières années de sa vie, période considérée comme importante pour la formation de liens d</w:t>
      </w:r>
      <w:r w:rsidR="00D3481F" w:rsidRPr="00D3481F">
        <w:t>’</w:t>
      </w:r>
      <w:r w:rsidRPr="00D3481F">
        <w:t>attachement entre un parent et son enfant. L.R. n</w:t>
      </w:r>
      <w:r w:rsidR="00D3481F" w:rsidRPr="00D3481F">
        <w:t>’</w:t>
      </w:r>
      <w:r w:rsidRPr="00D3481F">
        <w:t>était pas favorable à un rapprochement entre le requérant et son fils. L</w:t>
      </w:r>
      <w:r w:rsidR="00D3481F" w:rsidRPr="00D3481F">
        <w:t>’</w:t>
      </w:r>
      <w:r w:rsidRPr="00D3481F">
        <w:t>expertise donnait une appréciation positive des capacités parentales du requérant.</w:t>
      </w:r>
    </w:p>
    <w:p w:rsidR="007F7726" w:rsidRPr="00D3481F" w:rsidRDefault="007F7726" w:rsidP="00D3481F">
      <w:pPr>
        <w:pStyle w:val="JuPara"/>
      </w:pPr>
      <w:r w:rsidRPr="00D3481F">
        <w:fldChar w:fldCharType="begin"/>
      </w:r>
      <w:r w:rsidRPr="00D3481F">
        <w:instrText xml:space="preserve"> SEQ level0 \*arabic </w:instrText>
      </w:r>
      <w:r w:rsidRPr="00D3481F">
        <w:fldChar w:fldCharType="separate"/>
      </w:r>
      <w:r w:rsidR="00D3481F" w:rsidRPr="00D3481F">
        <w:rPr>
          <w:noProof/>
        </w:rPr>
        <w:t>9</w:t>
      </w:r>
      <w:r w:rsidRPr="00D3481F">
        <w:fldChar w:fldCharType="end"/>
      </w:r>
      <w:r w:rsidRPr="00D3481F">
        <w:t>.  Le 25 juillet 2016, le tribunal, se basant sur l</w:t>
      </w:r>
      <w:r w:rsidR="00D3481F" w:rsidRPr="00D3481F">
        <w:t>’</w:t>
      </w:r>
      <w:r w:rsidRPr="00D3481F">
        <w:t>expertise effectuée sur l</w:t>
      </w:r>
      <w:r w:rsidR="00D3481F" w:rsidRPr="00D3481F">
        <w:t>’</w:t>
      </w:r>
      <w:r w:rsidRPr="00D3481F">
        <w:t xml:space="preserve">enfant et les deux parents, </w:t>
      </w:r>
      <w:r w:rsidRPr="00D3481F">
        <w:rPr>
          <w:rFonts w:ascii="Times New Roman" w:hAnsi="Times New Roman" w:cs="Times New Roman"/>
          <w:color w:val="000000"/>
        </w:rPr>
        <w:t>confia M.T. aux soins des services de l</w:t>
      </w:r>
      <w:r w:rsidR="00D3481F" w:rsidRPr="00D3481F">
        <w:rPr>
          <w:rFonts w:ascii="Times New Roman" w:hAnsi="Times New Roman" w:cs="Times New Roman"/>
          <w:color w:val="000000"/>
        </w:rPr>
        <w:t>’</w:t>
      </w:r>
      <w:r w:rsidRPr="00D3481F">
        <w:rPr>
          <w:rFonts w:ascii="Times New Roman" w:hAnsi="Times New Roman" w:cs="Times New Roman"/>
          <w:color w:val="000000"/>
        </w:rPr>
        <w:t>assistance publique de la municipalité de Mogliano Veneto et établit la résidence principale de l</w:t>
      </w:r>
      <w:r w:rsidR="00D3481F" w:rsidRPr="00D3481F">
        <w:rPr>
          <w:rFonts w:ascii="Times New Roman" w:hAnsi="Times New Roman" w:cs="Times New Roman"/>
          <w:color w:val="000000"/>
        </w:rPr>
        <w:t>’</w:t>
      </w:r>
      <w:r w:rsidRPr="00D3481F">
        <w:rPr>
          <w:rFonts w:ascii="Times New Roman" w:hAnsi="Times New Roman" w:cs="Times New Roman"/>
          <w:color w:val="000000"/>
        </w:rPr>
        <w:t>enfant chez L.R. Il</w:t>
      </w:r>
      <w:r w:rsidRPr="00D3481F">
        <w:t xml:space="preserve"> définit le droit de visite du requérant et ordonna un parcours de soutien psychologique pour L.R.</w:t>
      </w:r>
    </w:p>
    <w:p w:rsidR="007F7726" w:rsidRPr="00D3481F" w:rsidRDefault="007F7726" w:rsidP="00D3481F">
      <w:pPr>
        <w:pStyle w:val="JuPara"/>
      </w:pPr>
      <w:r w:rsidRPr="00D3481F">
        <w:fldChar w:fldCharType="begin"/>
      </w:r>
      <w:r w:rsidRPr="00D3481F">
        <w:instrText xml:space="preserve"> SEQ level0 \*arabic </w:instrText>
      </w:r>
      <w:r w:rsidRPr="00D3481F">
        <w:fldChar w:fldCharType="separate"/>
      </w:r>
      <w:r w:rsidR="00D3481F" w:rsidRPr="00D3481F">
        <w:rPr>
          <w:noProof/>
        </w:rPr>
        <w:t>10</w:t>
      </w:r>
      <w:r w:rsidRPr="00D3481F">
        <w:fldChar w:fldCharType="end"/>
      </w:r>
      <w:r w:rsidRPr="00D3481F">
        <w:t>.  L.R. interjeta appel de la décision.</w:t>
      </w:r>
    </w:p>
    <w:p w:rsidR="007F7726" w:rsidRPr="00D3481F" w:rsidRDefault="007F7726" w:rsidP="00D3481F">
      <w:pPr>
        <w:pStyle w:val="JuPara"/>
        <w:rPr>
          <w:rFonts w:ascii="Times New Roman" w:hAnsi="Times New Roman" w:cs="Times New Roman"/>
          <w:color w:val="000000"/>
        </w:rPr>
      </w:pPr>
      <w:r w:rsidRPr="00D3481F">
        <w:fldChar w:fldCharType="begin"/>
      </w:r>
      <w:r w:rsidRPr="00D3481F">
        <w:instrText xml:space="preserve"> SEQ level0 \*arabic </w:instrText>
      </w:r>
      <w:r w:rsidRPr="00D3481F">
        <w:fldChar w:fldCharType="separate"/>
      </w:r>
      <w:r w:rsidR="00D3481F" w:rsidRPr="00D3481F">
        <w:rPr>
          <w:noProof/>
        </w:rPr>
        <w:t>11</w:t>
      </w:r>
      <w:r w:rsidRPr="00D3481F">
        <w:fldChar w:fldCharType="end"/>
      </w:r>
      <w:r w:rsidRPr="00D3481F">
        <w:t>.  Le 27 décembre 2016</w:t>
      </w:r>
      <w:r w:rsidRPr="00D3481F">
        <w:rPr>
          <w:rFonts w:ascii="Times New Roman" w:hAnsi="Times New Roman" w:cs="Times New Roman"/>
          <w:color w:val="000000"/>
        </w:rPr>
        <w:t>, sans avoir obtenu l</w:t>
      </w:r>
      <w:r w:rsidR="00D3481F" w:rsidRPr="00D3481F">
        <w:rPr>
          <w:rFonts w:ascii="Times New Roman" w:hAnsi="Times New Roman" w:cs="Times New Roman"/>
          <w:color w:val="000000"/>
        </w:rPr>
        <w:t>’</w:t>
      </w:r>
      <w:r w:rsidRPr="00D3481F">
        <w:rPr>
          <w:rFonts w:ascii="Times New Roman" w:hAnsi="Times New Roman" w:cs="Times New Roman"/>
          <w:color w:val="000000"/>
        </w:rPr>
        <w:t>autorisation préalable ni du requérant ni du tribunal, L.R. déménagea et s</w:t>
      </w:r>
      <w:r w:rsidR="00D3481F" w:rsidRPr="00D3481F">
        <w:rPr>
          <w:rFonts w:ascii="Times New Roman" w:hAnsi="Times New Roman" w:cs="Times New Roman"/>
          <w:color w:val="000000"/>
        </w:rPr>
        <w:t>’</w:t>
      </w:r>
      <w:r w:rsidRPr="00D3481F">
        <w:rPr>
          <w:rFonts w:ascii="Times New Roman" w:hAnsi="Times New Roman" w:cs="Times New Roman"/>
          <w:color w:val="000000"/>
        </w:rPr>
        <w:t>installa à Rome, à environ six cents kilomètres du domicile du requérant.</w:t>
      </w:r>
    </w:p>
    <w:p w:rsidR="007F7726" w:rsidRPr="00D3481F" w:rsidRDefault="007F7726" w:rsidP="00D3481F">
      <w:pPr>
        <w:pStyle w:val="JuPara"/>
        <w:rPr>
          <w:rFonts w:ascii="Times New Roman" w:hAnsi="Times New Roman" w:cs="Times New Roman"/>
          <w:color w:val="000000"/>
        </w:rPr>
      </w:pPr>
      <w:r w:rsidRPr="00D3481F">
        <w:rPr>
          <w:rFonts w:ascii="Times New Roman" w:hAnsi="Times New Roman" w:cs="Times New Roman"/>
          <w:color w:val="000000"/>
        </w:rPr>
        <w:fldChar w:fldCharType="begin"/>
      </w:r>
      <w:r w:rsidRPr="00D3481F">
        <w:rPr>
          <w:rFonts w:ascii="Times New Roman" w:hAnsi="Times New Roman" w:cs="Times New Roman"/>
          <w:color w:val="000000"/>
        </w:rPr>
        <w:instrText xml:space="preserve"> SEQ level0 \*arabic </w:instrText>
      </w:r>
      <w:r w:rsidRPr="00D3481F">
        <w:rPr>
          <w:rFonts w:ascii="Times New Roman" w:hAnsi="Times New Roman" w:cs="Times New Roman"/>
          <w:color w:val="000000"/>
        </w:rPr>
        <w:fldChar w:fldCharType="separate"/>
      </w:r>
      <w:r w:rsidR="00D3481F" w:rsidRPr="00D3481F">
        <w:rPr>
          <w:rFonts w:ascii="Times New Roman" w:hAnsi="Times New Roman" w:cs="Times New Roman"/>
          <w:noProof/>
          <w:color w:val="000000"/>
        </w:rPr>
        <w:t>12</w:t>
      </w:r>
      <w:r w:rsidRPr="00D3481F">
        <w:rPr>
          <w:rFonts w:ascii="Times New Roman" w:hAnsi="Times New Roman" w:cs="Times New Roman"/>
          <w:color w:val="000000"/>
        </w:rPr>
        <w:fldChar w:fldCharType="end"/>
      </w:r>
      <w:r w:rsidRPr="00D3481F">
        <w:rPr>
          <w:rFonts w:ascii="Times New Roman" w:hAnsi="Times New Roman" w:cs="Times New Roman"/>
          <w:color w:val="000000"/>
        </w:rPr>
        <w:t>.  À partir de ce moment-là, le requérant ne fut plus en mesure de voir son fils du fait de l</w:t>
      </w:r>
      <w:r w:rsidR="00D3481F" w:rsidRPr="00D3481F">
        <w:rPr>
          <w:rFonts w:ascii="Times New Roman" w:hAnsi="Times New Roman" w:cs="Times New Roman"/>
          <w:color w:val="000000"/>
        </w:rPr>
        <w:t>’</w:t>
      </w:r>
      <w:r w:rsidRPr="00D3481F">
        <w:rPr>
          <w:rFonts w:ascii="Times New Roman" w:hAnsi="Times New Roman" w:cs="Times New Roman"/>
          <w:color w:val="000000"/>
        </w:rPr>
        <w:t>opposition de L.R.</w:t>
      </w:r>
    </w:p>
    <w:p w:rsidR="007F7726" w:rsidRPr="00D3481F" w:rsidRDefault="007F7726" w:rsidP="00D3481F">
      <w:pPr>
        <w:pStyle w:val="JuPara"/>
      </w:pPr>
      <w:r w:rsidRPr="00D3481F">
        <w:fldChar w:fldCharType="begin"/>
      </w:r>
      <w:r w:rsidRPr="00D3481F">
        <w:instrText xml:space="preserve"> SEQ level0 \*arabic </w:instrText>
      </w:r>
      <w:r w:rsidRPr="00D3481F">
        <w:fldChar w:fldCharType="separate"/>
      </w:r>
      <w:r w:rsidR="00D3481F" w:rsidRPr="00D3481F">
        <w:rPr>
          <w:noProof/>
        </w:rPr>
        <w:t>13</w:t>
      </w:r>
      <w:r w:rsidRPr="00D3481F">
        <w:fldChar w:fldCharType="end"/>
      </w:r>
      <w:r w:rsidRPr="00D3481F">
        <w:t>.  Le 30 janvier 2017, la cour d</w:t>
      </w:r>
      <w:r w:rsidR="00D3481F" w:rsidRPr="00D3481F">
        <w:t>’</w:t>
      </w:r>
      <w:r w:rsidRPr="00D3481F">
        <w:t>appel de Venise rejeta le recours formé par L.R. et établit que la résidence de l</w:t>
      </w:r>
      <w:r w:rsidR="00D3481F" w:rsidRPr="00D3481F">
        <w:t>’</w:t>
      </w:r>
      <w:r w:rsidRPr="00D3481F">
        <w:t>enfant se trouvait à Z</w:t>
      </w:r>
      <w:r w:rsidR="002D4CFD" w:rsidRPr="00D3481F">
        <w:t xml:space="preserve">. </w:t>
      </w:r>
      <w:r w:rsidRPr="00D3481F">
        <w:t>B. Elle confirma que la garde de l</w:t>
      </w:r>
      <w:r w:rsidR="00D3481F" w:rsidRPr="00D3481F">
        <w:t>’</w:t>
      </w:r>
      <w:r w:rsidRPr="00D3481F">
        <w:t>enfant était confiée aux services sociaux de Mogliano Veneto et réfuta que le déménagement et l</w:t>
      </w:r>
      <w:r w:rsidR="00D3481F" w:rsidRPr="00D3481F">
        <w:t>’</w:t>
      </w:r>
      <w:r w:rsidRPr="00D3481F">
        <w:t>installation à Rome eussent été autorisés étant donné que cet éloignement était de nature à empêcher l</w:t>
      </w:r>
      <w:r w:rsidR="00D3481F" w:rsidRPr="00D3481F">
        <w:t>’</w:t>
      </w:r>
      <w:r w:rsidRPr="00D3481F">
        <w:t>exercice de la coparentalité par le requérant.</w:t>
      </w:r>
    </w:p>
    <w:p w:rsidR="007F7726" w:rsidRPr="00D3481F" w:rsidRDefault="007F7726" w:rsidP="00D3481F">
      <w:pPr>
        <w:pStyle w:val="JuPara"/>
      </w:pPr>
      <w:r w:rsidRPr="00D3481F">
        <w:fldChar w:fldCharType="begin"/>
      </w:r>
      <w:r w:rsidRPr="00D3481F">
        <w:instrText xml:space="preserve"> SEQ level0 \*arabic </w:instrText>
      </w:r>
      <w:r w:rsidRPr="00D3481F">
        <w:fldChar w:fldCharType="separate"/>
      </w:r>
      <w:r w:rsidR="00D3481F" w:rsidRPr="00D3481F">
        <w:rPr>
          <w:noProof/>
        </w:rPr>
        <w:t>14</w:t>
      </w:r>
      <w:r w:rsidRPr="00D3481F">
        <w:fldChar w:fldCharType="end"/>
      </w:r>
      <w:r w:rsidRPr="00D3481F">
        <w:t>.  Nonobstant la décision du tribunal, L.R. refusa de retourner vivre à Z. B.</w:t>
      </w:r>
    </w:p>
    <w:p w:rsidR="007F7726" w:rsidRPr="00D3481F" w:rsidRDefault="007F7726" w:rsidP="00D3481F">
      <w:pPr>
        <w:pStyle w:val="JuPara"/>
      </w:pPr>
      <w:r w:rsidRPr="00D3481F">
        <w:fldChar w:fldCharType="begin"/>
      </w:r>
      <w:r w:rsidRPr="00D3481F">
        <w:instrText xml:space="preserve"> SEQ level0 \*arabic </w:instrText>
      </w:r>
      <w:r w:rsidRPr="00D3481F">
        <w:fldChar w:fldCharType="separate"/>
      </w:r>
      <w:r w:rsidR="00D3481F" w:rsidRPr="00D3481F">
        <w:rPr>
          <w:noProof/>
        </w:rPr>
        <w:t>15</w:t>
      </w:r>
      <w:r w:rsidRPr="00D3481F">
        <w:fldChar w:fldCharType="end"/>
      </w:r>
      <w:r w:rsidRPr="00D3481F">
        <w:t>.  Le 10 avril 2017, les services sociaux de Mogliano Veneto demandèrent à L.R. de se conformer à la décision de la cour d</w:t>
      </w:r>
      <w:r w:rsidR="00D3481F" w:rsidRPr="00D3481F">
        <w:t>’</w:t>
      </w:r>
      <w:r w:rsidRPr="00D3481F">
        <w:t>appel.</w:t>
      </w:r>
    </w:p>
    <w:p w:rsidR="007F7726" w:rsidRPr="00D3481F" w:rsidRDefault="007F7726" w:rsidP="00D3481F">
      <w:pPr>
        <w:pStyle w:val="JuPara"/>
      </w:pPr>
      <w:r w:rsidRPr="00D3481F">
        <w:fldChar w:fldCharType="begin"/>
      </w:r>
      <w:r w:rsidRPr="00D3481F">
        <w:instrText xml:space="preserve"> SEQ level0 \*arabic </w:instrText>
      </w:r>
      <w:r w:rsidRPr="00D3481F">
        <w:fldChar w:fldCharType="separate"/>
      </w:r>
      <w:r w:rsidR="00D3481F" w:rsidRPr="00D3481F">
        <w:rPr>
          <w:noProof/>
        </w:rPr>
        <w:t>16</w:t>
      </w:r>
      <w:r w:rsidRPr="00D3481F">
        <w:fldChar w:fldCharType="end"/>
      </w:r>
      <w:r w:rsidRPr="00D3481F">
        <w:t>.  Le 3 mai 2017, le requérant déposa une plainte pénale pour le délit de non-respect d</w:t>
      </w:r>
      <w:r w:rsidR="00D3481F" w:rsidRPr="00D3481F">
        <w:t>’</w:t>
      </w:r>
      <w:r w:rsidRPr="00D3481F">
        <w:t>une décision judiciaire (article 388 du code pénal).</w:t>
      </w:r>
    </w:p>
    <w:p w:rsidR="007F7726" w:rsidRPr="00D3481F" w:rsidRDefault="007F7726" w:rsidP="00D3481F">
      <w:pPr>
        <w:pStyle w:val="JuPara"/>
      </w:pPr>
      <w:r w:rsidRPr="00D3481F">
        <w:fldChar w:fldCharType="begin"/>
      </w:r>
      <w:r w:rsidRPr="00D3481F">
        <w:instrText xml:space="preserve"> SEQ level0 \*arabic </w:instrText>
      </w:r>
      <w:r w:rsidRPr="00D3481F">
        <w:fldChar w:fldCharType="separate"/>
      </w:r>
      <w:r w:rsidR="00D3481F" w:rsidRPr="00D3481F">
        <w:rPr>
          <w:noProof/>
        </w:rPr>
        <w:t>17</w:t>
      </w:r>
      <w:r w:rsidRPr="00D3481F">
        <w:fldChar w:fldCharType="end"/>
      </w:r>
      <w:r w:rsidRPr="00D3481F">
        <w:t>.  À une date non précisée, L.R. introduisit un recours auprès du tribunal de Rome afin d</w:t>
      </w:r>
      <w:r w:rsidR="00D3481F" w:rsidRPr="00D3481F">
        <w:t>’</w:t>
      </w:r>
      <w:r w:rsidRPr="00D3481F">
        <w:t>obtenir la garde exclusive de l</w:t>
      </w:r>
      <w:r w:rsidR="00D3481F" w:rsidRPr="00D3481F">
        <w:t>’</w:t>
      </w:r>
      <w:r w:rsidRPr="00D3481F">
        <w:t>enfant, nonobstant les précédentes décisions du tribunal et de la cour d</w:t>
      </w:r>
      <w:r w:rsidR="00D3481F" w:rsidRPr="00D3481F">
        <w:t>’</w:t>
      </w:r>
      <w:r w:rsidRPr="00D3481F">
        <w:t>appel de Trévise.</w:t>
      </w:r>
    </w:p>
    <w:p w:rsidR="007F7726" w:rsidRPr="00D3481F" w:rsidRDefault="007F7726" w:rsidP="00D3481F">
      <w:pPr>
        <w:pStyle w:val="JuPara"/>
        <w:rPr>
          <w:rFonts w:ascii="Times New Roman" w:hAnsi="Times New Roman" w:cs="Times New Roman"/>
          <w:color w:val="000000"/>
        </w:rPr>
      </w:pPr>
      <w:r w:rsidRPr="00D3481F">
        <w:fldChar w:fldCharType="begin"/>
      </w:r>
      <w:r w:rsidRPr="00D3481F">
        <w:instrText xml:space="preserve"> SEQ level0 \*arabic </w:instrText>
      </w:r>
      <w:r w:rsidRPr="00D3481F">
        <w:fldChar w:fldCharType="separate"/>
      </w:r>
      <w:r w:rsidR="00D3481F" w:rsidRPr="00D3481F">
        <w:rPr>
          <w:noProof/>
        </w:rPr>
        <w:t>18</w:t>
      </w:r>
      <w:r w:rsidRPr="00D3481F">
        <w:fldChar w:fldCharType="end"/>
      </w:r>
      <w:r w:rsidRPr="00D3481F">
        <w:t xml:space="preserve">.  Le 10 juillet 2017, </w:t>
      </w:r>
      <w:r w:rsidRPr="00D3481F">
        <w:rPr>
          <w:rFonts w:ascii="Times New Roman" w:hAnsi="Times New Roman" w:cs="Times New Roman"/>
          <w:color w:val="000000"/>
        </w:rPr>
        <w:t>le requérant saisit le tribunal pour enfants de Venise (ci-après « le tribunal »), arguant que L.R. avait déménagé sans son accord et qu</w:t>
      </w:r>
      <w:r w:rsidR="00D3481F" w:rsidRPr="00D3481F">
        <w:rPr>
          <w:rFonts w:ascii="Times New Roman" w:hAnsi="Times New Roman" w:cs="Times New Roman"/>
          <w:color w:val="000000"/>
        </w:rPr>
        <w:t>’</w:t>
      </w:r>
      <w:r w:rsidRPr="00D3481F">
        <w:rPr>
          <w:rFonts w:ascii="Times New Roman" w:hAnsi="Times New Roman" w:cs="Times New Roman"/>
          <w:color w:val="000000"/>
        </w:rPr>
        <w:t>il ne pouvait pas de ce fait voir son fils. Il invita le tribunal à se prononcer de manière urgente et demanda que L.R. fût déchue de son autorité parentale.</w:t>
      </w:r>
    </w:p>
    <w:p w:rsidR="007F7726" w:rsidRPr="00D3481F" w:rsidRDefault="007F7726" w:rsidP="00D3481F">
      <w:pPr>
        <w:pStyle w:val="JuPara"/>
        <w:rPr>
          <w:rFonts w:ascii="Times New Roman" w:hAnsi="Times New Roman" w:cs="Times New Roman"/>
          <w:color w:val="000000"/>
        </w:rPr>
      </w:pPr>
      <w:r w:rsidRPr="00D3481F">
        <w:rPr>
          <w:rFonts w:ascii="Times New Roman" w:hAnsi="Times New Roman" w:cs="Times New Roman"/>
          <w:color w:val="000000"/>
        </w:rPr>
        <w:fldChar w:fldCharType="begin"/>
      </w:r>
      <w:r w:rsidRPr="00D3481F">
        <w:rPr>
          <w:rFonts w:ascii="Times New Roman" w:hAnsi="Times New Roman" w:cs="Times New Roman"/>
          <w:color w:val="000000"/>
        </w:rPr>
        <w:instrText xml:space="preserve"> SEQ level0 \*arabic </w:instrText>
      </w:r>
      <w:r w:rsidRPr="00D3481F">
        <w:rPr>
          <w:rFonts w:ascii="Times New Roman" w:hAnsi="Times New Roman" w:cs="Times New Roman"/>
          <w:color w:val="000000"/>
        </w:rPr>
        <w:fldChar w:fldCharType="separate"/>
      </w:r>
      <w:r w:rsidR="00D3481F" w:rsidRPr="00D3481F">
        <w:rPr>
          <w:rFonts w:ascii="Times New Roman" w:hAnsi="Times New Roman" w:cs="Times New Roman"/>
          <w:noProof/>
          <w:color w:val="000000"/>
        </w:rPr>
        <w:t>19</w:t>
      </w:r>
      <w:r w:rsidRPr="00D3481F">
        <w:rPr>
          <w:rFonts w:ascii="Times New Roman" w:hAnsi="Times New Roman" w:cs="Times New Roman"/>
          <w:color w:val="000000"/>
        </w:rPr>
        <w:fldChar w:fldCharType="end"/>
      </w:r>
      <w:r w:rsidRPr="00D3481F">
        <w:rPr>
          <w:rFonts w:ascii="Times New Roman" w:hAnsi="Times New Roman" w:cs="Times New Roman"/>
          <w:color w:val="000000"/>
        </w:rPr>
        <w:t xml:space="preserve">.  Le 11 juillet 2017, le parquet demanda au tribunal de prendre des mesures telles que visées par les articles 330 et 333 du code civil. Il se basa sur les rapports établis par les services sociaux qui indiquaient que L.R. ne </w:t>
      </w:r>
      <w:r w:rsidRPr="00D3481F">
        <w:rPr>
          <w:rFonts w:ascii="Times New Roman" w:hAnsi="Times New Roman" w:cs="Times New Roman"/>
          <w:color w:val="000000"/>
        </w:rPr>
        <w:lastRenderedPageBreak/>
        <w:t>collaborait pas et qu</w:t>
      </w:r>
      <w:r w:rsidR="00D3481F" w:rsidRPr="00D3481F">
        <w:rPr>
          <w:rFonts w:ascii="Times New Roman" w:hAnsi="Times New Roman" w:cs="Times New Roman"/>
          <w:color w:val="000000"/>
        </w:rPr>
        <w:t>’</w:t>
      </w:r>
      <w:r w:rsidRPr="00D3481F">
        <w:rPr>
          <w:rFonts w:ascii="Times New Roman" w:hAnsi="Times New Roman" w:cs="Times New Roman"/>
          <w:color w:val="000000"/>
        </w:rPr>
        <w:t>elle dénigrait le requérant. En outre, l</w:t>
      </w:r>
      <w:r w:rsidR="00D3481F" w:rsidRPr="00D3481F">
        <w:rPr>
          <w:rFonts w:ascii="Times New Roman" w:hAnsi="Times New Roman" w:cs="Times New Roman"/>
          <w:color w:val="000000"/>
        </w:rPr>
        <w:t>’</w:t>
      </w:r>
      <w:r w:rsidRPr="00D3481F">
        <w:rPr>
          <w:rFonts w:ascii="Times New Roman" w:hAnsi="Times New Roman" w:cs="Times New Roman"/>
          <w:color w:val="000000"/>
        </w:rPr>
        <w:t>enfant, qui présentait un retard de langage, n</w:t>
      </w:r>
      <w:r w:rsidR="00D3481F" w:rsidRPr="00D3481F">
        <w:rPr>
          <w:rFonts w:ascii="Times New Roman" w:hAnsi="Times New Roman" w:cs="Times New Roman"/>
          <w:color w:val="000000"/>
        </w:rPr>
        <w:t>’</w:t>
      </w:r>
      <w:r w:rsidRPr="00D3481F">
        <w:rPr>
          <w:rFonts w:ascii="Times New Roman" w:hAnsi="Times New Roman" w:cs="Times New Roman"/>
          <w:color w:val="000000"/>
        </w:rPr>
        <w:t>était pas suivi par un orthophoniste, malgré les instructions qui avaient été données à L.R.</w:t>
      </w:r>
    </w:p>
    <w:p w:rsidR="007F7726" w:rsidRPr="00D3481F" w:rsidRDefault="007F7726" w:rsidP="00D3481F">
      <w:pPr>
        <w:pStyle w:val="JuPara"/>
        <w:rPr>
          <w:rFonts w:ascii="Times New Roman" w:hAnsi="Times New Roman" w:cs="Times New Roman"/>
          <w:color w:val="000000"/>
        </w:rPr>
      </w:pPr>
      <w:r w:rsidRPr="00D3481F">
        <w:rPr>
          <w:rFonts w:ascii="Times New Roman" w:hAnsi="Times New Roman" w:cs="Times New Roman"/>
          <w:color w:val="000000"/>
        </w:rPr>
        <w:fldChar w:fldCharType="begin"/>
      </w:r>
      <w:r w:rsidRPr="00D3481F">
        <w:rPr>
          <w:rFonts w:ascii="Times New Roman" w:hAnsi="Times New Roman" w:cs="Times New Roman"/>
          <w:color w:val="000000"/>
        </w:rPr>
        <w:instrText xml:space="preserve"> SEQ level0 \*arabic </w:instrText>
      </w:r>
      <w:r w:rsidRPr="00D3481F">
        <w:rPr>
          <w:rFonts w:ascii="Times New Roman" w:hAnsi="Times New Roman" w:cs="Times New Roman"/>
          <w:color w:val="000000"/>
        </w:rPr>
        <w:fldChar w:fldCharType="separate"/>
      </w:r>
      <w:r w:rsidR="00D3481F" w:rsidRPr="00D3481F">
        <w:rPr>
          <w:rFonts w:ascii="Times New Roman" w:hAnsi="Times New Roman" w:cs="Times New Roman"/>
          <w:noProof/>
          <w:color w:val="000000"/>
        </w:rPr>
        <w:t>20</w:t>
      </w:r>
      <w:r w:rsidRPr="00D3481F">
        <w:rPr>
          <w:rFonts w:ascii="Times New Roman" w:hAnsi="Times New Roman" w:cs="Times New Roman"/>
          <w:color w:val="000000"/>
        </w:rPr>
        <w:fldChar w:fldCharType="end"/>
      </w:r>
      <w:r w:rsidRPr="00D3481F">
        <w:rPr>
          <w:rFonts w:ascii="Times New Roman" w:hAnsi="Times New Roman" w:cs="Times New Roman"/>
          <w:color w:val="000000"/>
        </w:rPr>
        <w:t>.  Le 22 août 2017, sachant que l</w:t>
      </w:r>
      <w:r w:rsidR="00D3481F" w:rsidRPr="00D3481F">
        <w:rPr>
          <w:rFonts w:ascii="Times New Roman" w:hAnsi="Times New Roman" w:cs="Times New Roman"/>
          <w:color w:val="000000"/>
        </w:rPr>
        <w:t>’</w:t>
      </w:r>
      <w:r w:rsidRPr="00D3481F">
        <w:rPr>
          <w:rFonts w:ascii="Times New Roman" w:hAnsi="Times New Roman" w:cs="Times New Roman"/>
          <w:color w:val="000000"/>
        </w:rPr>
        <w:t>enfant avait été hospitalisé, le requérant se rendit à Rome mais il fut empêché de le voir malgré l</w:t>
      </w:r>
      <w:r w:rsidR="00D3481F" w:rsidRPr="00D3481F">
        <w:rPr>
          <w:rFonts w:ascii="Times New Roman" w:hAnsi="Times New Roman" w:cs="Times New Roman"/>
          <w:color w:val="000000"/>
        </w:rPr>
        <w:t>’</w:t>
      </w:r>
      <w:r w:rsidRPr="00D3481F">
        <w:rPr>
          <w:rFonts w:ascii="Times New Roman" w:hAnsi="Times New Roman" w:cs="Times New Roman"/>
          <w:color w:val="000000"/>
        </w:rPr>
        <w:t>intervention de la police.</w:t>
      </w:r>
    </w:p>
    <w:p w:rsidR="007F7726" w:rsidRPr="00D3481F" w:rsidRDefault="007F7726" w:rsidP="00D3481F">
      <w:pPr>
        <w:pStyle w:val="JuPara"/>
        <w:rPr>
          <w:rFonts w:ascii="Times New Roman" w:hAnsi="Times New Roman" w:cs="Times New Roman"/>
          <w:color w:val="000000"/>
        </w:rPr>
      </w:pPr>
      <w:r w:rsidRPr="00D3481F">
        <w:rPr>
          <w:rFonts w:ascii="Times New Roman" w:hAnsi="Times New Roman" w:cs="Times New Roman"/>
          <w:color w:val="000000"/>
        </w:rPr>
        <w:fldChar w:fldCharType="begin"/>
      </w:r>
      <w:r w:rsidRPr="00D3481F">
        <w:rPr>
          <w:rFonts w:ascii="Times New Roman" w:hAnsi="Times New Roman" w:cs="Times New Roman"/>
          <w:color w:val="000000"/>
        </w:rPr>
        <w:instrText xml:space="preserve"> SEQ level0 \*arabic </w:instrText>
      </w:r>
      <w:r w:rsidRPr="00D3481F">
        <w:rPr>
          <w:rFonts w:ascii="Times New Roman" w:hAnsi="Times New Roman" w:cs="Times New Roman"/>
          <w:color w:val="000000"/>
        </w:rPr>
        <w:fldChar w:fldCharType="separate"/>
      </w:r>
      <w:r w:rsidR="00D3481F" w:rsidRPr="00D3481F">
        <w:rPr>
          <w:rFonts w:ascii="Times New Roman" w:hAnsi="Times New Roman" w:cs="Times New Roman"/>
          <w:noProof/>
          <w:color w:val="000000"/>
        </w:rPr>
        <w:t>21</w:t>
      </w:r>
      <w:r w:rsidRPr="00D3481F">
        <w:rPr>
          <w:rFonts w:ascii="Times New Roman" w:hAnsi="Times New Roman" w:cs="Times New Roman"/>
          <w:color w:val="000000"/>
        </w:rPr>
        <w:fldChar w:fldCharType="end"/>
      </w:r>
      <w:r w:rsidRPr="00D3481F">
        <w:rPr>
          <w:rFonts w:ascii="Times New Roman" w:hAnsi="Times New Roman" w:cs="Times New Roman"/>
          <w:color w:val="000000"/>
        </w:rPr>
        <w:t>.  Le 6 janvier 2018, le requérant se rendit à Rome pour voir l</w:t>
      </w:r>
      <w:r w:rsidR="00D3481F" w:rsidRPr="00D3481F">
        <w:rPr>
          <w:rFonts w:ascii="Times New Roman" w:hAnsi="Times New Roman" w:cs="Times New Roman"/>
          <w:color w:val="000000"/>
        </w:rPr>
        <w:t>’</w:t>
      </w:r>
      <w:r w:rsidRPr="00D3481F">
        <w:rPr>
          <w:rFonts w:ascii="Times New Roman" w:hAnsi="Times New Roman" w:cs="Times New Roman"/>
          <w:color w:val="000000"/>
        </w:rPr>
        <w:t>enfant, comme cela était prévu, mais à son arrivée il ne trouva personne. Il fit constater cette situation par les gendarmes et déposa une plainte.</w:t>
      </w:r>
    </w:p>
    <w:p w:rsidR="007F7726" w:rsidRPr="00D3481F" w:rsidRDefault="007F7726" w:rsidP="00D3481F">
      <w:pPr>
        <w:pStyle w:val="JuPara"/>
        <w:rPr>
          <w:rFonts w:ascii="Times New Roman" w:hAnsi="Times New Roman" w:cs="Times New Roman"/>
          <w:color w:val="000000"/>
        </w:rPr>
      </w:pPr>
      <w:r w:rsidRPr="00D3481F">
        <w:rPr>
          <w:rFonts w:ascii="Times New Roman" w:hAnsi="Times New Roman" w:cs="Times New Roman"/>
          <w:color w:val="000000"/>
        </w:rPr>
        <w:fldChar w:fldCharType="begin"/>
      </w:r>
      <w:r w:rsidRPr="00D3481F">
        <w:rPr>
          <w:rFonts w:ascii="Times New Roman" w:hAnsi="Times New Roman" w:cs="Times New Roman"/>
          <w:color w:val="000000"/>
        </w:rPr>
        <w:instrText xml:space="preserve"> SEQ level0 \*arabic </w:instrText>
      </w:r>
      <w:r w:rsidRPr="00D3481F">
        <w:rPr>
          <w:rFonts w:ascii="Times New Roman" w:hAnsi="Times New Roman" w:cs="Times New Roman"/>
          <w:color w:val="000000"/>
        </w:rPr>
        <w:fldChar w:fldCharType="separate"/>
      </w:r>
      <w:r w:rsidR="00D3481F" w:rsidRPr="00D3481F">
        <w:rPr>
          <w:rFonts w:ascii="Times New Roman" w:hAnsi="Times New Roman" w:cs="Times New Roman"/>
          <w:noProof/>
          <w:color w:val="000000"/>
        </w:rPr>
        <w:t>22</w:t>
      </w:r>
      <w:r w:rsidRPr="00D3481F">
        <w:rPr>
          <w:rFonts w:ascii="Times New Roman" w:hAnsi="Times New Roman" w:cs="Times New Roman"/>
          <w:color w:val="000000"/>
        </w:rPr>
        <w:fldChar w:fldCharType="end"/>
      </w:r>
      <w:r w:rsidRPr="00D3481F">
        <w:rPr>
          <w:rFonts w:ascii="Times New Roman" w:hAnsi="Times New Roman" w:cs="Times New Roman"/>
          <w:color w:val="000000"/>
        </w:rPr>
        <w:t>.  Pendant l</w:t>
      </w:r>
      <w:r w:rsidR="00D3481F" w:rsidRPr="00D3481F">
        <w:rPr>
          <w:rFonts w:ascii="Times New Roman" w:hAnsi="Times New Roman" w:cs="Times New Roman"/>
          <w:color w:val="000000"/>
        </w:rPr>
        <w:t>’</w:t>
      </w:r>
      <w:r w:rsidRPr="00D3481F">
        <w:rPr>
          <w:rFonts w:ascii="Times New Roman" w:hAnsi="Times New Roman" w:cs="Times New Roman"/>
          <w:color w:val="000000"/>
        </w:rPr>
        <w:t>année 2018, le requérant fut en mesure de voir son fils quelques fois lors des hospitalisations de l</w:t>
      </w:r>
      <w:r w:rsidR="00D3481F" w:rsidRPr="00D3481F">
        <w:rPr>
          <w:rFonts w:ascii="Times New Roman" w:hAnsi="Times New Roman" w:cs="Times New Roman"/>
          <w:color w:val="000000"/>
        </w:rPr>
        <w:t>’</w:t>
      </w:r>
      <w:r w:rsidRPr="00D3481F">
        <w:rPr>
          <w:rFonts w:ascii="Times New Roman" w:hAnsi="Times New Roman" w:cs="Times New Roman"/>
          <w:color w:val="000000"/>
        </w:rPr>
        <w:t>enfant à Rome, mais en présence de L.R. et des parents de celle-ci.</w:t>
      </w:r>
    </w:p>
    <w:p w:rsidR="007F7726" w:rsidRPr="00D3481F" w:rsidRDefault="007F7726" w:rsidP="00D3481F">
      <w:pPr>
        <w:pStyle w:val="JuPara"/>
        <w:rPr>
          <w:rFonts w:ascii="Times New Roman" w:hAnsi="Times New Roman" w:cs="Times New Roman"/>
          <w:color w:val="000000"/>
        </w:rPr>
      </w:pPr>
      <w:r w:rsidRPr="00D3481F">
        <w:rPr>
          <w:rFonts w:ascii="Times New Roman" w:hAnsi="Times New Roman" w:cs="Times New Roman"/>
          <w:color w:val="000000"/>
        </w:rPr>
        <w:fldChar w:fldCharType="begin"/>
      </w:r>
      <w:r w:rsidRPr="00D3481F">
        <w:rPr>
          <w:rFonts w:ascii="Times New Roman" w:hAnsi="Times New Roman" w:cs="Times New Roman"/>
          <w:color w:val="000000"/>
        </w:rPr>
        <w:instrText xml:space="preserve"> SEQ level0 \*arabic </w:instrText>
      </w:r>
      <w:r w:rsidRPr="00D3481F">
        <w:rPr>
          <w:rFonts w:ascii="Times New Roman" w:hAnsi="Times New Roman" w:cs="Times New Roman"/>
          <w:color w:val="000000"/>
        </w:rPr>
        <w:fldChar w:fldCharType="separate"/>
      </w:r>
      <w:r w:rsidR="00D3481F" w:rsidRPr="00D3481F">
        <w:rPr>
          <w:rFonts w:ascii="Times New Roman" w:hAnsi="Times New Roman" w:cs="Times New Roman"/>
          <w:noProof/>
          <w:color w:val="000000"/>
        </w:rPr>
        <w:t>23</w:t>
      </w:r>
      <w:r w:rsidRPr="00D3481F">
        <w:rPr>
          <w:rFonts w:ascii="Times New Roman" w:hAnsi="Times New Roman" w:cs="Times New Roman"/>
          <w:color w:val="000000"/>
        </w:rPr>
        <w:fldChar w:fldCharType="end"/>
      </w:r>
      <w:r w:rsidRPr="00D3481F">
        <w:rPr>
          <w:rFonts w:ascii="Times New Roman" w:hAnsi="Times New Roman" w:cs="Times New Roman"/>
          <w:color w:val="000000"/>
        </w:rPr>
        <w:t>.  Malgré les demandes réitérées du requérant, le tribunal de Venise ne se prononça que deux ans plus tard. Par une décision du 25 février 2019, le tribunal, appelé à évaluer si le comportement de L.R., qui avait déménagé à Rome sans le consentement du requérant et de la justice, avait porté préjudice à l</w:t>
      </w:r>
      <w:r w:rsidR="00D3481F" w:rsidRPr="00D3481F">
        <w:rPr>
          <w:rFonts w:ascii="Times New Roman" w:hAnsi="Times New Roman" w:cs="Times New Roman"/>
          <w:color w:val="000000"/>
        </w:rPr>
        <w:t>’</w:t>
      </w:r>
      <w:r w:rsidRPr="00D3481F">
        <w:rPr>
          <w:rFonts w:ascii="Times New Roman" w:hAnsi="Times New Roman" w:cs="Times New Roman"/>
          <w:color w:val="000000"/>
        </w:rPr>
        <w:t>enfant, s</w:t>
      </w:r>
      <w:r w:rsidR="00D3481F" w:rsidRPr="00D3481F">
        <w:rPr>
          <w:rFonts w:ascii="Times New Roman" w:hAnsi="Times New Roman" w:cs="Times New Roman"/>
          <w:color w:val="000000"/>
        </w:rPr>
        <w:t>’</w:t>
      </w:r>
      <w:r w:rsidRPr="00D3481F">
        <w:rPr>
          <w:rFonts w:ascii="Times New Roman" w:hAnsi="Times New Roman" w:cs="Times New Roman"/>
          <w:color w:val="000000"/>
        </w:rPr>
        <w:t>exprima ainsi :</w:t>
      </w:r>
    </w:p>
    <w:p w:rsidR="007F7726" w:rsidRPr="00D3481F" w:rsidRDefault="007F7726" w:rsidP="00D3481F">
      <w:pPr>
        <w:pStyle w:val="JuQuot"/>
      </w:pPr>
      <w:r w:rsidRPr="00D3481F">
        <w:t>« Le tribunal ne conteste pas la décision de L.R. de déménager car un parent est libre de se déplacer sur le territoire au gré de ses envies. Ce qui est contestable, toutefois, c</w:t>
      </w:r>
      <w:r w:rsidR="00D3481F" w:rsidRPr="00D3481F">
        <w:t>’</w:t>
      </w:r>
      <w:r w:rsidRPr="00D3481F">
        <w:t>est que L.R. motive ce départ définitif pour une ville éloignée de la localité de résidence du requérant par la nécessité de soigner l</w:t>
      </w:r>
      <w:r w:rsidR="00D3481F" w:rsidRPr="00D3481F">
        <w:t>’</w:t>
      </w:r>
      <w:r w:rsidRPr="00D3481F">
        <w:t>enfant, alors que celui-ci pouvait très bien être soigné dans sa région d</w:t>
      </w:r>
      <w:r w:rsidR="00D3481F" w:rsidRPr="00D3481F">
        <w:t>’</w:t>
      </w:r>
      <w:r w:rsidRPr="00D3481F">
        <w:t>origine. De cette manière, L.R. a instrumentalisé la maladie de l</w:t>
      </w:r>
      <w:r w:rsidR="00D3481F" w:rsidRPr="00D3481F">
        <w:t>’</w:t>
      </w:r>
      <w:r w:rsidRPr="00D3481F">
        <w:t>enfant. De plus, l</w:t>
      </w:r>
      <w:r w:rsidR="00D3481F" w:rsidRPr="00D3481F">
        <w:t>’</w:t>
      </w:r>
      <w:r w:rsidRPr="00D3481F">
        <w:t>éloignement géographique entre les parents a rendu encore plus difficile au requérant le maintien des relations avec l</w:t>
      </w:r>
      <w:r w:rsidR="00D3481F" w:rsidRPr="00D3481F">
        <w:t>’</w:t>
      </w:r>
      <w:r w:rsidRPr="00D3481F">
        <w:t>enfant, surtout dans les premières années de la vie de celui-ci. »</w:t>
      </w:r>
    </w:p>
    <w:p w:rsidR="007F7726" w:rsidRPr="00D3481F" w:rsidRDefault="007F7726" w:rsidP="00D3481F">
      <w:pPr>
        <w:pStyle w:val="JuPara"/>
        <w:rPr>
          <w:rFonts w:ascii="Times New Roman" w:hAnsi="Times New Roman" w:cs="Times New Roman"/>
          <w:color w:val="000000"/>
        </w:rPr>
      </w:pPr>
      <w:r w:rsidRPr="00D3481F">
        <w:fldChar w:fldCharType="begin"/>
      </w:r>
      <w:r w:rsidRPr="00D3481F">
        <w:instrText xml:space="preserve"> SEQ level0 \*arabic </w:instrText>
      </w:r>
      <w:r w:rsidRPr="00D3481F">
        <w:fldChar w:fldCharType="separate"/>
      </w:r>
      <w:r w:rsidR="00D3481F" w:rsidRPr="00D3481F">
        <w:rPr>
          <w:noProof/>
        </w:rPr>
        <w:t>24</w:t>
      </w:r>
      <w:r w:rsidRPr="00D3481F">
        <w:fldChar w:fldCharType="end"/>
      </w:r>
      <w:r w:rsidRPr="00D3481F">
        <w:t xml:space="preserve">.  Le tribunal </w:t>
      </w:r>
      <w:r w:rsidRPr="00D3481F">
        <w:rPr>
          <w:rFonts w:ascii="Times New Roman" w:hAnsi="Times New Roman" w:cs="Times New Roman"/>
          <w:color w:val="000000"/>
        </w:rPr>
        <w:t>constata que L.R. était opposée au maintien de la relation entre le requérant et son fils,</w:t>
      </w:r>
      <w:r w:rsidRPr="00D3481F">
        <w:t xml:space="preserve"> qu</w:t>
      </w:r>
      <w:r w:rsidR="00D3481F" w:rsidRPr="00D3481F">
        <w:t>’</w:t>
      </w:r>
      <w:r w:rsidRPr="00D3481F">
        <w:t>elle n</w:t>
      </w:r>
      <w:r w:rsidR="00D3481F" w:rsidRPr="00D3481F">
        <w:t>’</w:t>
      </w:r>
      <w:r w:rsidRPr="00D3481F">
        <w:t>avait jamais permis au requérant d</w:t>
      </w:r>
      <w:r w:rsidR="00D3481F" w:rsidRPr="00D3481F">
        <w:t>’</w:t>
      </w:r>
      <w:r w:rsidRPr="00D3481F">
        <w:t>être présent dans la vie de l</w:t>
      </w:r>
      <w:r w:rsidR="00D3481F" w:rsidRPr="00D3481F">
        <w:t>’</w:t>
      </w:r>
      <w:r w:rsidRPr="00D3481F">
        <w:t>enfant</w:t>
      </w:r>
      <w:r w:rsidRPr="00D3481F">
        <w:rPr>
          <w:rFonts w:ascii="Times New Roman" w:hAnsi="Times New Roman" w:cs="Times New Roman"/>
          <w:color w:val="000000"/>
        </w:rPr>
        <w:t xml:space="preserve">, et que par son comportement, elle faisait du tort à celui-ci. </w:t>
      </w:r>
      <w:r w:rsidRPr="00D3481F">
        <w:t>Il constata également que L.R. dénigrait le requérant, qu</w:t>
      </w:r>
      <w:r w:rsidR="00D3481F" w:rsidRPr="00D3481F">
        <w:t>’</w:t>
      </w:r>
      <w:r w:rsidRPr="00D3481F">
        <w:t>elle ne faisait pas suivre l</w:t>
      </w:r>
      <w:r w:rsidR="00D3481F" w:rsidRPr="00D3481F">
        <w:t>’</w:t>
      </w:r>
      <w:r w:rsidRPr="00D3481F">
        <w:t>enfant par des spécialistes, contrairement à ce que lui avaient recommandé les services sociaux, et qu</w:t>
      </w:r>
      <w:r w:rsidR="00D3481F" w:rsidRPr="00D3481F">
        <w:t>’</w:t>
      </w:r>
      <w:r w:rsidRPr="00D3481F">
        <w:t>elle refusait également de faire vacciner l</w:t>
      </w:r>
      <w:r w:rsidR="00D3481F" w:rsidRPr="00D3481F">
        <w:t>’</w:t>
      </w:r>
      <w:r w:rsidRPr="00D3481F">
        <w:t>enfant, lequel ne pouvait donc pas être inscrit à l</w:t>
      </w:r>
      <w:r w:rsidR="00D3481F" w:rsidRPr="00D3481F">
        <w:t>’</w:t>
      </w:r>
      <w:r w:rsidRPr="00D3481F">
        <w:t>école maternelle. Il conclut que ce comportement était préjudiciable à l</w:t>
      </w:r>
      <w:r w:rsidR="00D3481F" w:rsidRPr="00D3481F">
        <w:t>’</w:t>
      </w:r>
      <w:r w:rsidRPr="00D3481F">
        <w:t>enfant, mais il releva qu</w:t>
      </w:r>
      <w:r w:rsidR="00D3481F" w:rsidRPr="00D3481F">
        <w:t>’</w:t>
      </w:r>
      <w:r w:rsidRPr="00D3481F">
        <w:t>il était la conséquence du conflit entre L.R. et le requérant. Le tribunal estima qu</w:t>
      </w:r>
      <w:r w:rsidR="00D3481F" w:rsidRPr="00D3481F">
        <w:t>’</w:t>
      </w:r>
      <w:r w:rsidRPr="00D3481F">
        <w:t>il n</w:t>
      </w:r>
      <w:r w:rsidR="00D3481F" w:rsidRPr="00D3481F">
        <w:t>’</w:t>
      </w:r>
      <w:r w:rsidRPr="00D3481F">
        <w:t>était pas dans l</w:t>
      </w:r>
      <w:r w:rsidR="00D3481F" w:rsidRPr="00D3481F">
        <w:t>’</w:t>
      </w:r>
      <w:r w:rsidRPr="00D3481F">
        <w:t>intérêt de l</w:t>
      </w:r>
      <w:r w:rsidR="00D3481F" w:rsidRPr="00D3481F">
        <w:t>’</w:t>
      </w:r>
      <w:r w:rsidRPr="00D3481F">
        <w:t>enfant de voir sa résidence principale transférée chez le requérant ou d</w:t>
      </w:r>
      <w:r w:rsidR="00D3481F" w:rsidRPr="00D3481F">
        <w:t>’</w:t>
      </w:r>
      <w:r w:rsidRPr="00D3481F">
        <w:t>être éloigné de L.R.</w:t>
      </w:r>
    </w:p>
    <w:p w:rsidR="007F7726" w:rsidRPr="00D3481F" w:rsidRDefault="007F7726" w:rsidP="00D3481F">
      <w:pPr>
        <w:pStyle w:val="JuPara"/>
        <w:rPr>
          <w:rFonts w:ascii="Times New Roman" w:hAnsi="Times New Roman" w:cs="Times New Roman"/>
          <w:color w:val="000000"/>
        </w:rPr>
      </w:pPr>
      <w:r w:rsidRPr="00D3481F">
        <w:rPr>
          <w:rFonts w:ascii="Times New Roman" w:hAnsi="Times New Roman" w:cs="Times New Roman"/>
          <w:color w:val="000000"/>
        </w:rPr>
        <w:fldChar w:fldCharType="begin"/>
      </w:r>
      <w:r w:rsidRPr="00D3481F">
        <w:rPr>
          <w:rFonts w:ascii="Times New Roman" w:hAnsi="Times New Roman" w:cs="Times New Roman"/>
          <w:color w:val="000000"/>
        </w:rPr>
        <w:instrText xml:space="preserve"> SEQ level0 \*arabic </w:instrText>
      </w:r>
      <w:r w:rsidRPr="00D3481F">
        <w:rPr>
          <w:rFonts w:ascii="Times New Roman" w:hAnsi="Times New Roman" w:cs="Times New Roman"/>
          <w:color w:val="000000"/>
        </w:rPr>
        <w:fldChar w:fldCharType="separate"/>
      </w:r>
      <w:r w:rsidR="00D3481F" w:rsidRPr="00D3481F">
        <w:rPr>
          <w:rFonts w:ascii="Times New Roman" w:hAnsi="Times New Roman" w:cs="Times New Roman"/>
          <w:noProof/>
          <w:color w:val="000000"/>
        </w:rPr>
        <w:t>25</w:t>
      </w:r>
      <w:r w:rsidRPr="00D3481F">
        <w:rPr>
          <w:rFonts w:ascii="Times New Roman" w:hAnsi="Times New Roman" w:cs="Times New Roman"/>
          <w:color w:val="000000"/>
        </w:rPr>
        <w:fldChar w:fldCharType="end"/>
      </w:r>
      <w:r w:rsidRPr="00D3481F">
        <w:rPr>
          <w:rFonts w:ascii="Times New Roman" w:hAnsi="Times New Roman" w:cs="Times New Roman"/>
          <w:color w:val="000000"/>
        </w:rPr>
        <w:t>.  Par conséquent, le tribunal décida de limiter l</w:t>
      </w:r>
      <w:r w:rsidR="00D3481F" w:rsidRPr="00D3481F">
        <w:rPr>
          <w:rFonts w:ascii="Times New Roman" w:hAnsi="Times New Roman" w:cs="Times New Roman"/>
          <w:color w:val="000000"/>
        </w:rPr>
        <w:t>’</w:t>
      </w:r>
      <w:r w:rsidRPr="00D3481F">
        <w:rPr>
          <w:rFonts w:ascii="Times New Roman" w:hAnsi="Times New Roman" w:cs="Times New Roman"/>
          <w:color w:val="000000"/>
        </w:rPr>
        <w:t>autorité parentale de L.R. ; il confia l</w:t>
      </w:r>
      <w:r w:rsidR="00D3481F" w:rsidRPr="00D3481F">
        <w:rPr>
          <w:rFonts w:ascii="Times New Roman" w:hAnsi="Times New Roman" w:cs="Times New Roman"/>
          <w:color w:val="000000"/>
        </w:rPr>
        <w:t>’</w:t>
      </w:r>
      <w:r w:rsidRPr="00D3481F">
        <w:rPr>
          <w:rFonts w:ascii="Times New Roman" w:hAnsi="Times New Roman" w:cs="Times New Roman"/>
          <w:color w:val="000000"/>
        </w:rPr>
        <w:t>enfant aux soins des services de l</w:t>
      </w:r>
      <w:r w:rsidR="00D3481F" w:rsidRPr="00D3481F">
        <w:rPr>
          <w:rFonts w:ascii="Times New Roman" w:hAnsi="Times New Roman" w:cs="Times New Roman"/>
          <w:color w:val="000000"/>
        </w:rPr>
        <w:t>’</w:t>
      </w:r>
      <w:r w:rsidRPr="00D3481F">
        <w:rPr>
          <w:rFonts w:ascii="Times New Roman" w:hAnsi="Times New Roman" w:cs="Times New Roman"/>
          <w:color w:val="000000"/>
        </w:rPr>
        <w:t>assistance publique de la municipalité de Rome en leur ordonnant de prévoir un parcours d</w:t>
      </w:r>
      <w:r w:rsidR="00D3481F" w:rsidRPr="00D3481F">
        <w:rPr>
          <w:rFonts w:ascii="Times New Roman" w:hAnsi="Times New Roman" w:cs="Times New Roman"/>
          <w:color w:val="000000"/>
        </w:rPr>
        <w:t>’</w:t>
      </w:r>
      <w:r w:rsidRPr="00D3481F">
        <w:rPr>
          <w:rFonts w:ascii="Times New Roman" w:hAnsi="Times New Roman" w:cs="Times New Roman"/>
          <w:color w:val="000000"/>
        </w:rPr>
        <w:t>accompagnement psychologique pour l</w:t>
      </w:r>
      <w:r w:rsidR="00D3481F" w:rsidRPr="00D3481F">
        <w:rPr>
          <w:rFonts w:ascii="Times New Roman" w:hAnsi="Times New Roman" w:cs="Times New Roman"/>
          <w:color w:val="000000"/>
        </w:rPr>
        <w:t>’</w:t>
      </w:r>
      <w:r w:rsidRPr="00D3481F">
        <w:rPr>
          <w:rFonts w:ascii="Times New Roman" w:hAnsi="Times New Roman" w:cs="Times New Roman"/>
          <w:color w:val="000000"/>
        </w:rPr>
        <w:t>enfant et L.R, d</w:t>
      </w:r>
      <w:r w:rsidR="00D3481F" w:rsidRPr="00D3481F">
        <w:rPr>
          <w:rFonts w:ascii="Times New Roman" w:hAnsi="Times New Roman" w:cs="Times New Roman"/>
          <w:color w:val="000000"/>
        </w:rPr>
        <w:t>’</w:t>
      </w:r>
      <w:r w:rsidRPr="00D3481F">
        <w:rPr>
          <w:rFonts w:ascii="Times New Roman" w:hAnsi="Times New Roman" w:cs="Times New Roman"/>
          <w:color w:val="000000"/>
        </w:rPr>
        <w:t>établir un calendrier de rencontres entre le requérant et l</w:t>
      </w:r>
      <w:r w:rsidR="00D3481F" w:rsidRPr="00D3481F">
        <w:rPr>
          <w:rFonts w:ascii="Times New Roman" w:hAnsi="Times New Roman" w:cs="Times New Roman"/>
          <w:color w:val="000000"/>
        </w:rPr>
        <w:t>’</w:t>
      </w:r>
      <w:r w:rsidRPr="00D3481F">
        <w:rPr>
          <w:rFonts w:ascii="Times New Roman" w:hAnsi="Times New Roman" w:cs="Times New Roman"/>
          <w:color w:val="000000"/>
        </w:rPr>
        <w:t>enfant, de mettre en place une médiation entre le requérant et L.R., et de signaler au procureur tout non-respect des prescriptions du tribunal par L.R.</w:t>
      </w:r>
    </w:p>
    <w:p w:rsidR="007F7726" w:rsidRPr="00D3481F" w:rsidRDefault="007F7726" w:rsidP="00D3481F">
      <w:pPr>
        <w:pStyle w:val="JuPara"/>
        <w:rPr>
          <w:rFonts w:ascii="Times New Roman" w:hAnsi="Times New Roman" w:cs="Times New Roman"/>
          <w:color w:val="000000"/>
        </w:rPr>
      </w:pPr>
      <w:r w:rsidRPr="00D3481F">
        <w:rPr>
          <w:rFonts w:ascii="Times New Roman" w:hAnsi="Times New Roman" w:cs="Times New Roman"/>
          <w:color w:val="000000"/>
        </w:rPr>
        <w:lastRenderedPageBreak/>
        <w:fldChar w:fldCharType="begin"/>
      </w:r>
      <w:r w:rsidRPr="00D3481F">
        <w:rPr>
          <w:rFonts w:ascii="Times New Roman" w:hAnsi="Times New Roman" w:cs="Times New Roman"/>
          <w:color w:val="000000"/>
        </w:rPr>
        <w:instrText xml:space="preserve"> SEQ level0 \*arabic </w:instrText>
      </w:r>
      <w:r w:rsidRPr="00D3481F">
        <w:rPr>
          <w:rFonts w:ascii="Times New Roman" w:hAnsi="Times New Roman" w:cs="Times New Roman"/>
          <w:color w:val="000000"/>
        </w:rPr>
        <w:fldChar w:fldCharType="separate"/>
      </w:r>
      <w:r w:rsidR="00D3481F" w:rsidRPr="00D3481F">
        <w:rPr>
          <w:rFonts w:ascii="Times New Roman" w:hAnsi="Times New Roman" w:cs="Times New Roman"/>
          <w:noProof/>
          <w:color w:val="000000"/>
        </w:rPr>
        <w:t>26</w:t>
      </w:r>
      <w:r w:rsidRPr="00D3481F">
        <w:rPr>
          <w:rFonts w:ascii="Times New Roman" w:hAnsi="Times New Roman" w:cs="Times New Roman"/>
          <w:color w:val="000000"/>
        </w:rPr>
        <w:fldChar w:fldCharType="end"/>
      </w:r>
      <w:r w:rsidRPr="00D3481F">
        <w:rPr>
          <w:rFonts w:ascii="Times New Roman" w:hAnsi="Times New Roman" w:cs="Times New Roman"/>
          <w:color w:val="000000"/>
        </w:rPr>
        <w:t>.  Des rencontres d</w:t>
      </w:r>
      <w:r w:rsidR="00D3481F" w:rsidRPr="00D3481F">
        <w:rPr>
          <w:rFonts w:ascii="Times New Roman" w:hAnsi="Times New Roman" w:cs="Times New Roman"/>
          <w:color w:val="000000"/>
        </w:rPr>
        <w:t>’</w:t>
      </w:r>
      <w:r w:rsidRPr="00D3481F">
        <w:rPr>
          <w:rFonts w:ascii="Times New Roman" w:hAnsi="Times New Roman" w:cs="Times New Roman"/>
          <w:color w:val="000000"/>
        </w:rPr>
        <w:t xml:space="preserve">une heure tous les quinze jours furent </w:t>
      </w:r>
      <w:proofErr w:type="gramStart"/>
      <w:r w:rsidRPr="00D3481F">
        <w:rPr>
          <w:rFonts w:ascii="Times New Roman" w:hAnsi="Times New Roman" w:cs="Times New Roman"/>
          <w:color w:val="000000"/>
        </w:rPr>
        <w:t>prévues</w:t>
      </w:r>
      <w:proofErr w:type="gramEnd"/>
      <w:r w:rsidRPr="00D3481F">
        <w:rPr>
          <w:rFonts w:ascii="Times New Roman" w:hAnsi="Times New Roman" w:cs="Times New Roman"/>
          <w:color w:val="000000"/>
        </w:rPr>
        <w:t>.</w:t>
      </w:r>
    </w:p>
    <w:bookmarkStart w:id="5" w:name="paragraph27"/>
    <w:p w:rsidR="007F7726" w:rsidRPr="00D3481F" w:rsidRDefault="007F7726" w:rsidP="00D3481F">
      <w:pPr>
        <w:pStyle w:val="JuPara"/>
        <w:rPr>
          <w:rFonts w:ascii="Times New Roman" w:hAnsi="Times New Roman" w:cs="Times New Roman"/>
          <w:color w:val="000000"/>
        </w:rPr>
      </w:pPr>
      <w:r w:rsidRPr="00D3481F">
        <w:rPr>
          <w:rFonts w:ascii="Times New Roman" w:hAnsi="Times New Roman" w:cs="Times New Roman"/>
          <w:color w:val="000000"/>
        </w:rPr>
        <w:fldChar w:fldCharType="begin"/>
      </w:r>
      <w:r w:rsidRPr="00D3481F">
        <w:rPr>
          <w:rFonts w:ascii="Times New Roman" w:hAnsi="Times New Roman" w:cs="Times New Roman"/>
          <w:color w:val="000000"/>
        </w:rPr>
        <w:instrText xml:space="preserve"> SEQ level0 \*arabic </w:instrText>
      </w:r>
      <w:r w:rsidRPr="00D3481F">
        <w:rPr>
          <w:rFonts w:ascii="Times New Roman" w:hAnsi="Times New Roman" w:cs="Times New Roman"/>
          <w:color w:val="000000"/>
        </w:rPr>
        <w:fldChar w:fldCharType="separate"/>
      </w:r>
      <w:r w:rsidR="00D3481F" w:rsidRPr="00D3481F">
        <w:rPr>
          <w:rFonts w:ascii="Times New Roman" w:hAnsi="Times New Roman" w:cs="Times New Roman"/>
          <w:noProof/>
          <w:color w:val="000000"/>
        </w:rPr>
        <w:t>27</w:t>
      </w:r>
      <w:r w:rsidRPr="00D3481F">
        <w:rPr>
          <w:rFonts w:ascii="Times New Roman" w:hAnsi="Times New Roman" w:cs="Times New Roman"/>
          <w:color w:val="000000"/>
        </w:rPr>
        <w:fldChar w:fldCharType="end"/>
      </w:r>
      <w:bookmarkEnd w:id="5"/>
      <w:r w:rsidRPr="00D3481F">
        <w:rPr>
          <w:rFonts w:ascii="Times New Roman" w:hAnsi="Times New Roman" w:cs="Times New Roman"/>
          <w:color w:val="000000"/>
        </w:rPr>
        <w:t>.  Le 10 mars 2019, le requérant envoya un courriel aux services sociaux afin de connaître le nom de la personne qui devait suivre son fils. Il n</w:t>
      </w:r>
      <w:r w:rsidR="00D3481F" w:rsidRPr="00D3481F">
        <w:rPr>
          <w:rFonts w:ascii="Times New Roman" w:hAnsi="Times New Roman" w:cs="Times New Roman"/>
          <w:color w:val="000000"/>
        </w:rPr>
        <w:t>’</w:t>
      </w:r>
      <w:r w:rsidRPr="00D3481F">
        <w:rPr>
          <w:rFonts w:ascii="Times New Roman" w:hAnsi="Times New Roman" w:cs="Times New Roman"/>
          <w:color w:val="000000"/>
        </w:rPr>
        <w:t>eut aucune réponse.</w:t>
      </w:r>
    </w:p>
    <w:p w:rsidR="007F7726" w:rsidRPr="00D3481F" w:rsidRDefault="007F7726" w:rsidP="00D3481F">
      <w:pPr>
        <w:pStyle w:val="JuPara"/>
        <w:rPr>
          <w:rFonts w:ascii="Times New Roman" w:hAnsi="Times New Roman" w:cs="Times New Roman"/>
          <w:color w:val="000000"/>
        </w:rPr>
      </w:pPr>
      <w:r w:rsidRPr="00D3481F">
        <w:rPr>
          <w:rFonts w:ascii="Times New Roman" w:hAnsi="Times New Roman" w:cs="Times New Roman"/>
          <w:color w:val="000000"/>
        </w:rPr>
        <w:fldChar w:fldCharType="begin"/>
      </w:r>
      <w:r w:rsidRPr="00D3481F">
        <w:rPr>
          <w:rFonts w:ascii="Times New Roman" w:hAnsi="Times New Roman" w:cs="Times New Roman"/>
          <w:color w:val="000000"/>
        </w:rPr>
        <w:instrText xml:space="preserve"> SEQ level0 \*arabic </w:instrText>
      </w:r>
      <w:r w:rsidRPr="00D3481F">
        <w:rPr>
          <w:rFonts w:ascii="Times New Roman" w:hAnsi="Times New Roman" w:cs="Times New Roman"/>
          <w:color w:val="000000"/>
        </w:rPr>
        <w:fldChar w:fldCharType="separate"/>
      </w:r>
      <w:r w:rsidR="00D3481F" w:rsidRPr="00D3481F">
        <w:rPr>
          <w:rFonts w:ascii="Times New Roman" w:hAnsi="Times New Roman" w:cs="Times New Roman"/>
          <w:noProof/>
          <w:color w:val="000000"/>
        </w:rPr>
        <w:t>28</w:t>
      </w:r>
      <w:r w:rsidRPr="00D3481F">
        <w:rPr>
          <w:rFonts w:ascii="Times New Roman" w:hAnsi="Times New Roman" w:cs="Times New Roman"/>
          <w:color w:val="000000"/>
        </w:rPr>
        <w:fldChar w:fldCharType="end"/>
      </w:r>
      <w:r w:rsidRPr="00D3481F">
        <w:rPr>
          <w:rFonts w:ascii="Times New Roman" w:hAnsi="Times New Roman" w:cs="Times New Roman"/>
          <w:color w:val="000000"/>
        </w:rPr>
        <w:t>.  Le même jour, il adressa un courriel à l</w:t>
      </w:r>
      <w:r w:rsidR="00D3481F" w:rsidRPr="00D3481F">
        <w:rPr>
          <w:rFonts w:ascii="Times New Roman" w:hAnsi="Times New Roman" w:cs="Times New Roman"/>
          <w:color w:val="000000"/>
        </w:rPr>
        <w:t>’</w:t>
      </w:r>
      <w:r w:rsidRPr="00D3481F">
        <w:rPr>
          <w:rFonts w:ascii="Times New Roman" w:hAnsi="Times New Roman" w:cs="Times New Roman"/>
          <w:color w:val="000000"/>
        </w:rPr>
        <w:t>agent chargé du dossier au sein de l</w:t>
      </w:r>
      <w:r w:rsidR="00D3481F" w:rsidRPr="00D3481F">
        <w:rPr>
          <w:rFonts w:ascii="Times New Roman" w:hAnsi="Times New Roman" w:cs="Times New Roman"/>
          <w:color w:val="000000"/>
        </w:rPr>
        <w:t>’</w:t>
      </w:r>
      <w:r w:rsidRPr="00D3481F">
        <w:rPr>
          <w:rFonts w:ascii="Times New Roman" w:hAnsi="Times New Roman" w:cs="Times New Roman"/>
          <w:color w:val="000000"/>
        </w:rPr>
        <w:t>administration municipale de Rome afin de lui faire savoir qu</w:t>
      </w:r>
      <w:r w:rsidR="00D3481F" w:rsidRPr="00D3481F">
        <w:rPr>
          <w:rFonts w:ascii="Times New Roman" w:hAnsi="Times New Roman" w:cs="Times New Roman"/>
          <w:color w:val="000000"/>
        </w:rPr>
        <w:t>’</w:t>
      </w:r>
      <w:r w:rsidRPr="00D3481F">
        <w:rPr>
          <w:rFonts w:ascii="Times New Roman" w:hAnsi="Times New Roman" w:cs="Times New Roman"/>
          <w:color w:val="000000"/>
        </w:rPr>
        <w:t>en dépit des instructions données par le tribunal, L.R. ne répondait pas à ses appels téléphoniques et ne l</w:t>
      </w:r>
      <w:r w:rsidR="00D3481F" w:rsidRPr="00D3481F">
        <w:rPr>
          <w:rFonts w:ascii="Times New Roman" w:hAnsi="Times New Roman" w:cs="Times New Roman"/>
          <w:color w:val="000000"/>
        </w:rPr>
        <w:t>’</w:t>
      </w:r>
      <w:r w:rsidRPr="00D3481F">
        <w:rPr>
          <w:rFonts w:ascii="Times New Roman" w:hAnsi="Times New Roman" w:cs="Times New Roman"/>
          <w:color w:val="000000"/>
        </w:rPr>
        <w:t>informait pas de l</w:t>
      </w:r>
      <w:r w:rsidR="00D3481F" w:rsidRPr="00D3481F">
        <w:rPr>
          <w:rFonts w:ascii="Times New Roman" w:hAnsi="Times New Roman" w:cs="Times New Roman"/>
          <w:color w:val="000000"/>
        </w:rPr>
        <w:t>’</w:t>
      </w:r>
      <w:r w:rsidRPr="00D3481F">
        <w:rPr>
          <w:rFonts w:ascii="Times New Roman" w:hAnsi="Times New Roman" w:cs="Times New Roman"/>
          <w:color w:val="000000"/>
        </w:rPr>
        <w:t>état de santé de son fils et que de surcroît, aucune rencontre n</w:t>
      </w:r>
      <w:r w:rsidR="00D3481F" w:rsidRPr="00D3481F">
        <w:rPr>
          <w:rFonts w:ascii="Times New Roman" w:hAnsi="Times New Roman" w:cs="Times New Roman"/>
          <w:color w:val="000000"/>
        </w:rPr>
        <w:t>’</w:t>
      </w:r>
      <w:r w:rsidRPr="00D3481F">
        <w:rPr>
          <w:rFonts w:ascii="Times New Roman" w:hAnsi="Times New Roman" w:cs="Times New Roman"/>
          <w:color w:val="000000"/>
        </w:rPr>
        <w:t>avait été prévue.</w:t>
      </w:r>
    </w:p>
    <w:p w:rsidR="007F7726" w:rsidRPr="00D3481F" w:rsidRDefault="007F7726" w:rsidP="00D3481F">
      <w:pPr>
        <w:pStyle w:val="JuPara"/>
        <w:rPr>
          <w:rFonts w:ascii="Times New Roman" w:hAnsi="Times New Roman" w:cs="Times New Roman"/>
          <w:color w:val="000000"/>
        </w:rPr>
      </w:pPr>
      <w:r w:rsidRPr="00D3481F">
        <w:rPr>
          <w:rFonts w:ascii="Times New Roman" w:hAnsi="Times New Roman" w:cs="Times New Roman"/>
          <w:color w:val="000000"/>
        </w:rPr>
        <w:fldChar w:fldCharType="begin"/>
      </w:r>
      <w:r w:rsidRPr="00D3481F">
        <w:rPr>
          <w:rFonts w:ascii="Times New Roman" w:hAnsi="Times New Roman" w:cs="Times New Roman"/>
          <w:color w:val="000000"/>
        </w:rPr>
        <w:instrText xml:space="preserve"> SEQ level0 \*arabic </w:instrText>
      </w:r>
      <w:r w:rsidRPr="00D3481F">
        <w:rPr>
          <w:rFonts w:ascii="Times New Roman" w:hAnsi="Times New Roman" w:cs="Times New Roman"/>
          <w:color w:val="000000"/>
        </w:rPr>
        <w:fldChar w:fldCharType="separate"/>
      </w:r>
      <w:r w:rsidR="00D3481F" w:rsidRPr="00D3481F">
        <w:rPr>
          <w:rFonts w:ascii="Times New Roman" w:hAnsi="Times New Roman" w:cs="Times New Roman"/>
          <w:noProof/>
          <w:color w:val="000000"/>
        </w:rPr>
        <w:t>29</w:t>
      </w:r>
      <w:r w:rsidRPr="00D3481F">
        <w:rPr>
          <w:rFonts w:ascii="Times New Roman" w:hAnsi="Times New Roman" w:cs="Times New Roman"/>
          <w:color w:val="000000"/>
        </w:rPr>
        <w:fldChar w:fldCharType="end"/>
      </w:r>
      <w:r w:rsidRPr="00D3481F">
        <w:rPr>
          <w:rFonts w:ascii="Times New Roman" w:hAnsi="Times New Roman" w:cs="Times New Roman"/>
          <w:color w:val="000000"/>
        </w:rPr>
        <w:t>.  Le 28 mars 2019, le requérant envoya un message à la responsable des services sociaux. Il fut informé qu</w:t>
      </w:r>
      <w:r w:rsidR="00D3481F" w:rsidRPr="00D3481F">
        <w:rPr>
          <w:rFonts w:ascii="Times New Roman" w:hAnsi="Times New Roman" w:cs="Times New Roman"/>
          <w:color w:val="000000"/>
        </w:rPr>
        <w:t>’</w:t>
      </w:r>
      <w:r w:rsidRPr="00D3481F">
        <w:rPr>
          <w:rFonts w:ascii="Times New Roman" w:hAnsi="Times New Roman" w:cs="Times New Roman"/>
          <w:color w:val="000000"/>
        </w:rPr>
        <w:t>il n</w:t>
      </w:r>
      <w:r w:rsidR="00D3481F" w:rsidRPr="00D3481F">
        <w:rPr>
          <w:rFonts w:ascii="Times New Roman" w:hAnsi="Times New Roman" w:cs="Times New Roman"/>
          <w:color w:val="000000"/>
        </w:rPr>
        <w:t>’</w:t>
      </w:r>
      <w:r w:rsidRPr="00D3481F">
        <w:rPr>
          <w:rFonts w:ascii="Times New Roman" w:hAnsi="Times New Roman" w:cs="Times New Roman"/>
          <w:color w:val="000000"/>
        </w:rPr>
        <w:t>y avait pas de personnel disponible pour superviser les rencontres.</w:t>
      </w:r>
    </w:p>
    <w:p w:rsidR="007F7726" w:rsidRPr="00D3481F" w:rsidRDefault="007F7726" w:rsidP="00D3481F">
      <w:pPr>
        <w:pStyle w:val="JuPara"/>
        <w:rPr>
          <w:rFonts w:ascii="Times New Roman" w:hAnsi="Times New Roman" w:cs="Times New Roman"/>
          <w:color w:val="000000"/>
        </w:rPr>
      </w:pPr>
      <w:r w:rsidRPr="00D3481F">
        <w:rPr>
          <w:rFonts w:ascii="Times New Roman" w:hAnsi="Times New Roman" w:cs="Times New Roman"/>
          <w:color w:val="000000"/>
        </w:rPr>
        <w:fldChar w:fldCharType="begin"/>
      </w:r>
      <w:r w:rsidRPr="00D3481F">
        <w:rPr>
          <w:rFonts w:ascii="Times New Roman" w:hAnsi="Times New Roman" w:cs="Times New Roman"/>
          <w:color w:val="000000"/>
        </w:rPr>
        <w:instrText xml:space="preserve"> SEQ level0 \*arabic </w:instrText>
      </w:r>
      <w:r w:rsidRPr="00D3481F">
        <w:rPr>
          <w:rFonts w:ascii="Times New Roman" w:hAnsi="Times New Roman" w:cs="Times New Roman"/>
          <w:color w:val="000000"/>
        </w:rPr>
        <w:fldChar w:fldCharType="separate"/>
      </w:r>
      <w:r w:rsidR="00D3481F" w:rsidRPr="00D3481F">
        <w:rPr>
          <w:rFonts w:ascii="Times New Roman" w:hAnsi="Times New Roman" w:cs="Times New Roman"/>
          <w:noProof/>
          <w:color w:val="000000"/>
        </w:rPr>
        <w:t>30</w:t>
      </w:r>
      <w:r w:rsidRPr="00D3481F">
        <w:rPr>
          <w:rFonts w:ascii="Times New Roman" w:hAnsi="Times New Roman" w:cs="Times New Roman"/>
          <w:color w:val="000000"/>
        </w:rPr>
        <w:fldChar w:fldCharType="end"/>
      </w:r>
      <w:r w:rsidRPr="00D3481F">
        <w:rPr>
          <w:rFonts w:ascii="Times New Roman" w:hAnsi="Times New Roman" w:cs="Times New Roman"/>
          <w:color w:val="000000"/>
        </w:rPr>
        <w:t>.  Ses courriels adressés aux services sociaux les 22 et 27 avril 2019 demeurèrent sans réponse.</w:t>
      </w:r>
    </w:p>
    <w:p w:rsidR="007F7726" w:rsidRPr="00D3481F" w:rsidRDefault="007F7726" w:rsidP="00D3481F">
      <w:pPr>
        <w:pStyle w:val="JuPara"/>
        <w:rPr>
          <w:rFonts w:ascii="Times New Roman" w:hAnsi="Times New Roman" w:cs="Times New Roman"/>
          <w:color w:val="000000"/>
        </w:rPr>
      </w:pPr>
      <w:r w:rsidRPr="00D3481F">
        <w:rPr>
          <w:rFonts w:ascii="Times New Roman" w:hAnsi="Times New Roman" w:cs="Times New Roman"/>
          <w:color w:val="000000"/>
        </w:rPr>
        <w:fldChar w:fldCharType="begin"/>
      </w:r>
      <w:r w:rsidRPr="00D3481F">
        <w:rPr>
          <w:rFonts w:ascii="Times New Roman" w:hAnsi="Times New Roman" w:cs="Times New Roman"/>
          <w:color w:val="000000"/>
        </w:rPr>
        <w:instrText xml:space="preserve"> SEQ level0 \*arabic </w:instrText>
      </w:r>
      <w:r w:rsidRPr="00D3481F">
        <w:rPr>
          <w:rFonts w:ascii="Times New Roman" w:hAnsi="Times New Roman" w:cs="Times New Roman"/>
          <w:color w:val="000000"/>
        </w:rPr>
        <w:fldChar w:fldCharType="separate"/>
      </w:r>
      <w:r w:rsidR="00D3481F" w:rsidRPr="00D3481F">
        <w:rPr>
          <w:rFonts w:ascii="Times New Roman" w:hAnsi="Times New Roman" w:cs="Times New Roman"/>
          <w:noProof/>
          <w:color w:val="000000"/>
        </w:rPr>
        <w:t>31</w:t>
      </w:r>
      <w:r w:rsidRPr="00D3481F">
        <w:rPr>
          <w:rFonts w:ascii="Times New Roman" w:hAnsi="Times New Roman" w:cs="Times New Roman"/>
          <w:color w:val="000000"/>
        </w:rPr>
        <w:fldChar w:fldCharType="end"/>
      </w:r>
      <w:r w:rsidRPr="00D3481F">
        <w:rPr>
          <w:rFonts w:ascii="Times New Roman" w:hAnsi="Times New Roman" w:cs="Times New Roman"/>
          <w:color w:val="000000"/>
        </w:rPr>
        <w:t>.  Le 11 juin 2019, le requérant put s</w:t>
      </w:r>
      <w:r w:rsidR="00D3481F" w:rsidRPr="00D3481F">
        <w:rPr>
          <w:rFonts w:ascii="Times New Roman" w:hAnsi="Times New Roman" w:cs="Times New Roman"/>
          <w:color w:val="000000"/>
        </w:rPr>
        <w:t>’</w:t>
      </w:r>
      <w:r w:rsidRPr="00D3481F">
        <w:rPr>
          <w:rFonts w:ascii="Times New Roman" w:hAnsi="Times New Roman" w:cs="Times New Roman"/>
          <w:color w:val="000000"/>
        </w:rPr>
        <w:t>entretenir avec la responsable des services sociaux. Le 19 août 2019, il fit savoir aux services sociaux que L.R. avait changé la résidence de l</w:t>
      </w:r>
      <w:r w:rsidR="00D3481F" w:rsidRPr="00D3481F">
        <w:rPr>
          <w:rFonts w:ascii="Times New Roman" w:hAnsi="Times New Roman" w:cs="Times New Roman"/>
          <w:color w:val="000000"/>
        </w:rPr>
        <w:t>’</w:t>
      </w:r>
      <w:r w:rsidRPr="00D3481F">
        <w:rPr>
          <w:rFonts w:ascii="Times New Roman" w:hAnsi="Times New Roman" w:cs="Times New Roman"/>
          <w:color w:val="000000"/>
        </w:rPr>
        <w:t>enfant sans l</w:t>
      </w:r>
      <w:r w:rsidR="00D3481F" w:rsidRPr="00D3481F">
        <w:rPr>
          <w:rFonts w:ascii="Times New Roman" w:hAnsi="Times New Roman" w:cs="Times New Roman"/>
          <w:color w:val="000000"/>
        </w:rPr>
        <w:t>’</w:t>
      </w:r>
      <w:r w:rsidRPr="00D3481F">
        <w:rPr>
          <w:rFonts w:ascii="Times New Roman" w:hAnsi="Times New Roman" w:cs="Times New Roman"/>
          <w:color w:val="000000"/>
        </w:rPr>
        <w:t>en informer.</w:t>
      </w:r>
    </w:p>
    <w:p w:rsidR="007F7726" w:rsidRPr="00D3481F" w:rsidRDefault="007F7726" w:rsidP="00D3481F">
      <w:pPr>
        <w:pStyle w:val="JuPara"/>
        <w:rPr>
          <w:rFonts w:ascii="Times New Roman" w:hAnsi="Times New Roman" w:cs="Times New Roman"/>
          <w:color w:val="000000"/>
        </w:rPr>
      </w:pPr>
      <w:r w:rsidRPr="00D3481F">
        <w:rPr>
          <w:rFonts w:ascii="Times New Roman" w:hAnsi="Times New Roman" w:cs="Times New Roman"/>
          <w:color w:val="000000"/>
        </w:rPr>
        <w:fldChar w:fldCharType="begin"/>
      </w:r>
      <w:r w:rsidRPr="00D3481F">
        <w:rPr>
          <w:rFonts w:ascii="Times New Roman" w:hAnsi="Times New Roman" w:cs="Times New Roman"/>
          <w:color w:val="000000"/>
        </w:rPr>
        <w:instrText xml:space="preserve"> SEQ level0 \*arabic </w:instrText>
      </w:r>
      <w:r w:rsidRPr="00D3481F">
        <w:rPr>
          <w:rFonts w:ascii="Times New Roman" w:hAnsi="Times New Roman" w:cs="Times New Roman"/>
          <w:color w:val="000000"/>
        </w:rPr>
        <w:fldChar w:fldCharType="separate"/>
      </w:r>
      <w:r w:rsidR="00D3481F" w:rsidRPr="00D3481F">
        <w:rPr>
          <w:rFonts w:ascii="Times New Roman" w:hAnsi="Times New Roman" w:cs="Times New Roman"/>
          <w:noProof/>
          <w:color w:val="000000"/>
        </w:rPr>
        <w:t>32</w:t>
      </w:r>
      <w:r w:rsidRPr="00D3481F">
        <w:rPr>
          <w:rFonts w:ascii="Times New Roman" w:hAnsi="Times New Roman" w:cs="Times New Roman"/>
          <w:color w:val="000000"/>
        </w:rPr>
        <w:fldChar w:fldCharType="end"/>
      </w:r>
      <w:r w:rsidRPr="00D3481F">
        <w:rPr>
          <w:rFonts w:ascii="Times New Roman" w:hAnsi="Times New Roman" w:cs="Times New Roman"/>
          <w:color w:val="000000"/>
        </w:rPr>
        <w:t>.  En septembre 2019, alors que L.R. s</w:t>
      </w:r>
      <w:r w:rsidR="00D3481F" w:rsidRPr="00D3481F">
        <w:rPr>
          <w:rFonts w:ascii="Times New Roman" w:hAnsi="Times New Roman" w:cs="Times New Roman"/>
          <w:color w:val="000000"/>
        </w:rPr>
        <w:t>’</w:t>
      </w:r>
      <w:r w:rsidRPr="00D3481F">
        <w:rPr>
          <w:rFonts w:ascii="Times New Roman" w:hAnsi="Times New Roman" w:cs="Times New Roman"/>
          <w:color w:val="000000"/>
        </w:rPr>
        <w:t>opposait toujours aux rencontres, il fut trouvé un accord sur un régime de deux visites par mois.</w:t>
      </w:r>
    </w:p>
    <w:bookmarkStart w:id="6" w:name="paragraph33"/>
    <w:p w:rsidR="007F7726" w:rsidRPr="00D3481F" w:rsidRDefault="007F7726" w:rsidP="00D3481F">
      <w:pPr>
        <w:pStyle w:val="JuPara"/>
        <w:rPr>
          <w:rFonts w:ascii="Times New Roman" w:hAnsi="Times New Roman" w:cs="Times New Roman"/>
          <w:color w:val="000000"/>
        </w:rPr>
      </w:pPr>
      <w:r w:rsidRPr="00D3481F">
        <w:rPr>
          <w:rFonts w:ascii="Times New Roman" w:hAnsi="Times New Roman" w:cs="Times New Roman"/>
          <w:color w:val="000000"/>
        </w:rPr>
        <w:fldChar w:fldCharType="begin"/>
      </w:r>
      <w:r w:rsidRPr="00D3481F">
        <w:rPr>
          <w:rFonts w:ascii="Times New Roman" w:hAnsi="Times New Roman" w:cs="Times New Roman"/>
          <w:color w:val="000000"/>
        </w:rPr>
        <w:instrText xml:space="preserve"> SEQ level0 \*arabic </w:instrText>
      </w:r>
      <w:r w:rsidRPr="00D3481F">
        <w:rPr>
          <w:rFonts w:ascii="Times New Roman" w:hAnsi="Times New Roman" w:cs="Times New Roman"/>
          <w:color w:val="000000"/>
        </w:rPr>
        <w:fldChar w:fldCharType="separate"/>
      </w:r>
      <w:r w:rsidR="00D3481F" w:rsidRPr="00D3481F">
        <w:rPr>
          <w:rFonts w:ascii="Times New Roman" w:hAnsi="Times New Roman" w:cs="Times New Roman"/>
          <w:noProof/>
          <w:color w:val="000000"/>
        </w:rPr>
        <w:t>33</w:t>
      </w:r>
      <w:r w:rsidRPr="00D3481F">
        <w:rPr>
          <w:rFonts w:ascii="Times New Roman" w:hAnsi="Times New Roman" w:cs="Times New Roman"/>
          <w:color w:val="000000"/>
        </w:rPr>
        <w:fldChar w:fldCharType="end"/>
      </w:r>
      <w:bookmarkEnd w:id="6"/>
      <w:r w:rsidRPr="00D3481F">
        <w:rPr>
          <w:rFonts w:ascii="Times New Roman" w:hAnsi="Times New Roman" w:cs="Times New Roman"/>
          <w:color w:val="000000"/>
        </w:rPr>
        <w:t>.  La première rencontre entre le requérant et son fils eut lieu le 24 octobre 2019, soit sept mois après la décision du tribunal de Venise.</w:t>
      </w:r>
    </w:p>
    <w:p w:rsidR="007F7726" w:rsidRPr="00D3481F" w:rsidRDefault="007F7726" w:rsidP="00D3481F">
      <w:pPr>
        <w:pStyle w:val="JuPara"/>
        <w:rPr>
          <w:rFonts w:ascii="Times New Roman" w:hAnsi="Times New Roman" w:cs="Times New Roman"/>
          <w:color w:val="000000"/>
        </w:rPr>
      </w:pPr>
      <w:r w:rsidRPr="00D3481F">
        <w:rPr>
          <w:rFonts w:ascii="Times New Roman" w:hAnsi="Times New Roman" w:cs="Times New Roman"/>
          <w:color w:val="000000"/>
        </w:rPr>
        <w:fldChar w:fldCharType="begin"/>
      </w:r>
      <w:r w:rsidRPr="00D3481F">
        <w:rPr>
          <w:rFonts w:ascii="Times New Roman" w:hAnsi="Times New Roman" w:cs="Times New Roman"/>
          <w:color w:val="000000"/>
        </w:rPr>
        <w:instrText xml:space="preserve"> SEQ level0 \*arabic </w:instrText>
      </w:r>
      <w:r w:rsidRPr="00D3481F">
        <w:rPr>
          <w:rFonts w:ascii="Times New Roman" w:hAnsi="Times New Roman" w:cs="Times New Roman"/>
          <w:color w:val="000000"/>
        </w:rPr>
        <w:fldChar w:fldCharType="separate"/>
      </w:r>
      <w:r w:rsidR="00D3481F" w:rsidRPr="00D3481F">
        <w:rPr>
          <w:rFonts w:ascii="Times New Roman" w:hAnsi="Times New Roman" w:cs="Times New Roman"/>
          <w:noProof/>
          <w:color w:val="000000"/>
        </w:rPr>
        <w:t>34</w:t>
      </w:r>
      <w:r w:rsidRPr="00D3481F">
        <w:rPr>
          <w:rFonts w:ascii="Times New Roman" w:hAnsi="Times New Roman" w:cs="Times New Roman"/>
          <w:color w:val="000000"/>
        </w:rPr>
        <w:fldChar w:fldCharType="end"/>
      </w:r>
      <w:r w:rsidRPr="00D3481F">
        <w:rPr>
          <w:rFonts w:ascii="Times New Roman" w:hAnsi="Times New Roman" w:cs="Times New Roman"/>
          <w:color w:val="000000"/>
        </w:rPr>
        <w:t>.  La rencontre de novembre n</w:t>
      </w:r>
      <w:r w:rsidR="00D3481F" w:rsidRPr="00D3481F">
        <w:rPr>
          <w:rFonts w:ascii="Times New Roman" w:hAnsi="Times New Roman" w:cs="Times New Roman"/>
          <w:color w:val="000000"/>
        </w:rPr>
        <w:t>’</w:t>
      </w:r>
      <w:r w:rsidRPr="00D3481F">
        <w:rPr>
          <w:rFonts w:ascii="Times New Roman" w:hAnsi="Times New Roman" w:cs="Times New Roman"/>
          <w:color w:val="000000"/>
        </w:rPr>
        <w:t>eut pas lieu, car L.R. refusa d</w:t>
      </w:r>
      <w:r w:rsidR="00D3481F" w:rsidRPr="00D3481F">
        <w:rPr>
          <w:rFonts w:ascii="Times New Roman" w:hAnsi="Times New Roman" w:cs="Times New Roman"/>
          <w:color w:val="000000"/>
        </w:rPr>
        <w:t>’</w:t>
      </w:r>
      <w:r w:rsidRPr="00D3481F">
        <w:rPr>
          <w:rFonts w:ascii="Times New Roman" w:hAnsi="Times New Roman" w:cs="Times New Roman"/>
          <w:color w:val="000000"/>
        </w:rPr>
        <w:t>y emmener l</w:t>
      </w:r>
      <w:r w:rsidR="00D3481F" w:rsidRPr="00D3481F">
        <w:rPr>
          <w:rFonts w:ascii="Times New Roman" w:hAnsi="Times New Roman" w:cs="Times New Roman"/>
          <w:color w:val="000000"/>
        </w:rPr>
        <w:t>’</w:t>
      </w:r>
      <w:r w:rsidRPr="00D3481F">
        <w:rPr>
          <w:rFonts w:ascii="Times New Roman" w:hAnsi="Times New Roman" w:cs="Times New Roman"/>
          <w:color w:val="000000"/>
        </w:rPr>
        <w:t>enfant.</w:t>
      </w:r>
    </w:p>
    <w:p w:rsidR="007F7726" w:rsidRPr="00D3481F" w:rsidRDefault="007F7726" w:rsidP="00D3481F">
      <w:pPr>
        <w:pStyle w:val="JuPara"/>
        <w:rPr>
          <w:rFonts w:ascii="Times New Roman" w:hAnsi="Times New Roman" w:cs="Times New Roman"/>
          <w:color w:val="000000"/>
        </w:rPr>
      </w:pPr>
      <w:r w:rsidRPr="00D3481F">
        <w:rPr>
          <w:rFonts w:ascii="Times New Roman" w:hAnsi="Times New Roman" w:cs="Times New Roman"/>
          <w:color w:val="000000"/>
        </w:rPr>
        <w:fldChar w:fldCharType="begin"/>
      </w:r>
      <w:r w:rsidRPr="00D3481F">
        <w:rPr>
          <w:rFonts w:ascii="Times New Roman" w:hAnsi="Times New Roman" w:cs="Times New Roman"/>
          <w:color w:val="000000"/>
        </w:rPr>
        <w:instrText xml:space="preserve"> SEQ level0 \*arabic </w:instrText>
      </w:r>
      <w:r w:rsidRPr="00D3481F">
        <w:rPr>
          <w:rFonts w:ascii="Times New Roman" w:hAnsi="Times New Roman" w:cs="Times New Roman"/>
          <w:color w:val="000000"/>
        </w:rPr>
        <w:fldChar w:fldCharType="separate"/>
      </w:r>
      <w:r w:rsidR="00D3481F" w:rsidRPr="00D3481F">
        <w:rPr>
          <w:rFonts w:ascii="Times New Roman" w:hAnsi="Times New Roman" w:cs="Times New Roman"/>
          <w:noProof/>
          <w:color w:val="000000"/>
        </w:rPr>
        <w:t>35</w:t>
      </w:r>
      <w:r w:rsidRPr="00D3481F">
        <w:rPr>
          <w:rFonts w:ascii="Times New Roman" w:hAnsi="Times New Roman" w:cs="Times New Roman"/>
          <w:color w:val="000000"/>
        </w:rPr>
        <w:fldChar w:fldCharType="end"/>
      </w:r>
      <w:r w:rsidRPr="00D3481F">
        <w:rPr>
          <w:rFonts w:ascii="Times New Roman" w:hAnsi="Times New Roman" w:cs="Times New Roman"/>
          <w:color w:val="000000"/>
        </w:rPr>
        <w:t>.  Le 28 novembre 2019, le procès pénal visant L.R. et ses parents fut ouvert. L.R. fut condamnée à un an et huit mois d</w:t>
      </w:r>
      <w:r w:rsidR="00D3481F" w:rsidRPr="00D3481F">
        <w:rPr>
          <w:rFonts w:ascii="Times New Roman" w:hAnsi="Times New Roman" w:cs="Times New Roman"/>
          <w:color w:val="000000"/>
        </w:rPr>
        <w:t>’</w:t>
      </w:r>
      <w:r w:rsidRPr="00D3481F">
        <w:rPr>
          <w:rFonts w:ascii="Times New Roman" w:hAnsi="Times New Roman" w:cs="Times New Roman"/>
          <w:color w:val="000000"/>
        </w:rPr>
        <w:t>emprisonnement pour soustraction d</w:t>
      </w:r>
      <w:r w:rsidR="00D3481F" w:rsidRPr="00D3481F">
        <w:rPr>
          <w:rFonts w:ascii="Times New Roman" w:hAnsi="Times New Roman" w:cs="Times New Roman"/>
          <w:color w:val="000000"/>
        </w:rPr>
        <w:t>’</w:t>
      </w:r>
      <w:r w:rsidRPr="00D3481F">
        <w:rPr>
          <w:rFonts w:ascii="Times New Roman" w:hAnsi="Times New Roman" w:cs="Times New Roman"/>
          <w:color w:val="000000"/>
        </w:rPr>
        <w:t>enfant.</w:t>
      </w:r>
    </w:p>
    <w:p w:rsidR="007F7726" w:rsidRPr="00D3481F" w:rsidRDefault="007F7726" w:rsidP="00D3481F">
      <w:pPr>
        <w:pStyle w:val="JuPara"/>
        <w:rPr>
          <w:rFonts w:ascii="Times New Roman" w:hAnsi="Times New Roman" w:cs="Times New Roman"/>
          <w:color w:val="000000"/>
        </w:rPr>
      </w:pPr>
      <w:r w:rsidRPr="00D3481F">
        <w:rPr>
          <w:rFonts w:ascii="Times New Roman" w:hAnsi="Times New Roman" w:cs="Times New Roman"/>
          <w:color w:val="000000"/>
        </w:rPr>
        <w:fldChar w:fldCharType="begin"/>
      </w:r>
      <w:r w:rsidRPr="00D3481F">
        <w:rPr>
          <w:rFonts w:ascii="Times New Roman" w:hAnsi="Times New Roman" w:cs="Times New Roman"/>
          <w:color w:val="000000"/>
        </w:rPr>
        <w:instrText xml:space="preserve"> SEQ level0 \*arabic </w:instrText>
      </w:r>
      <w:r w:rsidRPr="00D3481F">
        <w:rPr>
          <w:rFonts w:ascii="Times New Roman" w:hAnsi="Times New Roman" w:cs="Times New Roman"/>
          <w:color w:val="000000"/>
        </w:rPr>
        <w:fldChar w:fldCharType="separate"/>
      </w:r>
      <w:r w:rsidR="00D3481F" w:rsidRPr="00D3481F">
        <w:rPr>
          <w:rFonts w:ascii="Times New Roman" w:hAnsi="Times New Roman" w:cs="Times New Roman"/>
          <w:noProof/>
          <w:color w:val="000000"/>
        </w:rPr>
        <w:t>36</w:t>
      </w:r>
      <w:r w:rsidRPr="00D3481F">
        <w:rPr>
          <w:rFonts w:ascii="Times New Roman" w:hAnsi="Times New Roman" w:cs="Times New Roman"/>
          <w:color w:val="000000"/>
        </w:rPr>
        <w:fldChar w:fldCharType="end"/>
      </w:r>
      <w:r w:rsidRPr="00D3481F">
        <w:rPr>
          <w:rFonts w:ascii="Times New Roman" w:hAnsi="Times New Roman" w:cs="Times New Roman"/>
          <w:color w:val="000000"/>
        </w:rPr>
        <w:t>.  Le 1</w:t>
      </w:r>
      <w:r w:rsidRPr="00D3481F">
        <w:rPr>
          <w:rFonts w:ascii="Times New Roman" w:hAnsi="Times New Roman" w:cs="Times New Roman"/>
          <w:color w:val="000000"/>
          <w:vertAlign w:val="superscript"/>
        </w:rPr>
        <w:t>er</w:t>
      </w:r>
      <w:r w:rsidRPr="00D3481F">
        <w:rPr>
          <w:rFonts w:ascii="Times New Roman" w:hAnsi="Times New Roman" w:cs="Times New Roman"/>
          <w:color w:val="000000"/>
        </w:rPr>
        <w:t xml:space="preserve"> février 2020, le requérant déposa une plainte contre L.R. pour non-respect de la décision du tribunal de Venise.</w:t>
      </w:r>
    </w:p>
    <w:p w:rsidR="007F7726" w:rsidRPr="00D3481F" w:rsidRDefault="007F7726" w:rsidP="00D3481F">
      <w:pPr>
        <w:pStyle w:val="JuPara"/>
        <w:rPr>
          <w:rFonts w:ascii="Times New Roman" w:hAnsi="Times New Roman" w:cs="Times New Roman"/>
          <w:color w:val="000000"/>
        </w:rPr>
      </w:pPr>
      <w:r w:rsidRPr="00D3481F">
        <w:rPr>
          <w:rFonts w:ascii="Times New Roman" w:hAnsi="Times New Roman" w:cs="Times New Roman"/>
          <w:color w:val="000000"/>
        </w:rPr>
        <w:fldChar w:fldCharType="begin"/>
      </w:r>
      <w:r w:rsidRPr="00D3481F">
        <w:rPr>
          <w:rFonts w:ascii="Times New Roman" w:hAnsi="Times New Roman" w:cs="Times New Roman"/>
          <w:color w:val="000000"/>
        </w:rPr>
        <w:instrText xml:space="preserve"> SEQ level0 \*arabic </w:instrText>
      </w:r>
      <w:r w:rsidRPr="00D3481F">
        <w:rPr>
          <w:rFonts w:ascii="Times New Roman" w:hAnsi="Times New Roman" w:cs="Times New Roman"/>
          <w:color w:val="000000"/>
        </w:rPr>
        <w:fldChar w:fldCharType="separate"/>
      </w:r>
      <w:r w:rsidR="00D3481F" w:rsidRPr="00D3481F">
        <w:rPr>
          <w:rFonts w:ascii="Times New Roman" w:hAnsi="Times New Roman" w:cs="Times New Roman"/>
          <w:noProof/>
          <w:color w:val="000000"/>
        </w:rPr>
        <w:t>37</w:t>
      </w:r>
      <w:r w:rsidRPr="00D3481F">
        <w:rPr>
          <w:rFonts w:ascii="Times New Roman" w:hAnsi="Times New Roman" w:cs="Times New Roman"/>
          <w:color w:val="000000"/>
        </w:rPr>
        <w:fldChar w:fldCharType="end"/>
      </w:r>
      <w:r w:rsidRPr="00D3481F">
        <w:rPr>
          <w:rFonts w:ascii="Times New Roman" w:hAnsi="Times New Roman" w:cs="Times New Roman"/>
          <w:color w:val="000000"/>
        </w:rPr>
        <w:t>.  En 2020, le requérant put rencontrer son fils les 16 et 30 janvier et le 20 février.</w:t>
      </w:r>
    </w:p>
    <w:bookmarkStart w:id="7" w:name="paragraph38"/>
    <w:p w:rsidR="007F7726" w:rsidRPr="00D3481F" w:rsidRDefault="007F7726" w:rsidP="00D3481F">
      <w:pPr>
        <w:pStyle w:val="JuPara"/>
        <w:rPr>
          <w:rFonts w:ascii="Times New Roman" w:hAnsi="Times New Roman" w:cs="Times New Roman"/>
          <w:color w:val="000000"/>
        </w:rPr>
      </w:pPr>
      <w:r w:rsidRPr="00D3481F">
        <w:rPr>
          <w:rFonts w:ascii="Times New Roman" w:hAnsi="Times New Roman" w:cs="Times New Roman"/>
          <w:color w:val="000000"/>
        </w:rPr>
        <w:fldChar w:fldCharType="begin"/>
      </w:r>
      <w:r w:rsidRPr="00D3481F">
        <w:rPr>
          <w:rFonts w:ascii="Times New Roman" w:hAnsi="Times New Roman" w:cs="Times New Roman"/>
          <w:color w:val="000000"/>
        </w:rPr>
        <w:instrText xml:space="preserve"> SEQ level0 \*arabic </w:instrText>
      </w:r>
      <w:r w:rsidRPr="00D3481F">
        <w:rPr>
          <w:rFonts w:ascii="Times New Roman" w:hAnsi="Times New Roman" w:cs="Times New Roman"/>
          <w:color w:val="000000"/>
        </w:rPr>
        <w:fldChar w:fldCharType="separate"/>
      </w:r>
      <w:r w:rsidR="00D3481F" w:rsidRPr="00D3481F">
        <w:rPr>
          <w:rFonts w:ascii="Times New Roman" w:hAnsi="Times New Roman" w:cs="Times New Roman"/>
          <w:noProof/>
          <w:color w:val="000000"/>
        </w:rPr>
        <w:t>38</w:t>
      </w:r>
      <w:r w:rsidRPr="00D3481F">
        <w:rPr>
          <w:rFonts w:ascii="Times New Roman" w:hAnsi="Times New Roman" w:cs="Times New Roman"/>
          <w:color w:val="000000"/>
        </w:rPr>
        <w:fldChar w:fldCharType="end"/>
      </w:r>
      <w:bookmarkEnd w:id="7"/>
      <w:r w:rsidRPr="00D3481F">
        <w:rPr>
          <w:rFonts w:ascii="Times New Roman" w:hAnsi="Times New Roman" w:cs="Times New Roman"/>
          <w:color w:val="000000"/>
        </w:rPr>
        <w:t>.  À partir du 28 février 2020 et jusqu</w:t>
      </w:r>
      <w:r w:rsidR="00D3481F" w:rsidRPr="00D3481F">
        <w:rPr>
          <w:rFonts w:ascii="Times New Roman" w:hAnsi="Times New Roman" w:cs="Times New Roman"/>
          <w:color w:val="000000"/>
        </w:rPr>
        <w:t>’</w:t>
      </w:r>
      <w:r w:rsidRPr="00D3481F">
        <w:rPr>
          <w:rFonts w:ascii="Times New Roman" w:hAnsi="Times New Roman" w:cs="Times New Roman"/>
          <w:color w:val="000000"/>
        </w:rPr>
        <w:t>en juillet 2020, le requérant ne put plus voir son enfant en raison de l</w:t>
      </w:r>
      <w:r w:rsidR="00D3481F" w:rsidRPr="00D3481F">
        <w:rPr>
          <w:rFonts w:ascii="Times New Roman" w:hAnsi="Times New Roman" w:cs="Times New Roman"/>
          <w:color w:val="000000"/>
        </w:rPr>
        <w:t>’</w:t>
      </w:r>
      <w:r w:rsidRPr="00D3481F">
        <w:rPr>
          <w:rFonts w:ascii="Times New Roman" w:hAnsi="Times New Roman" w:cs="Times New Roman"/>
          <w:color w:val="000000"/>
        </w:rPr>
        <w:t>indisponibilité du centre où les visites devaient se dérouler, nonobstant les d</w:t>
      </w:r>
      <w:r w:rsidRPr="00D3481F">
        <w:t>écrets du président du Conseil des ministres</w:t>
      </w:r>
      <w:r w:rsidRPr="00D3481F">
        <w:rPr>
          <w:rFonts w:ascii="Times New Roman" w:hAnsi="Times New Roman" w:cs="Times New Roman"/>
          <w:color w:val="000000"/>
        </w:rPr>
        <w:t xml:space="preserve"> (DPCM) des 8 et 9 mars (voir paragraphe </w:t>
      </w:r>
      <w:r w:rsidRPr="00D3481F">
        <w:rPr>
          <w:rFonts w:ascii="Times New Roman" w:hAnsi="Times New Roman" w:cs="Times New Roman"/>
          <w:color w:val="000000"/>
        </w:rPr>
        <w:fldChar w:fldCharType="begin"/>
      </w:r>
      <w:r w:rsidRPr="00D3481F">
        <w:rPr>
          <w:rFonts w:ascii="Times New Roman" w:hAnsi="Times New Roman" w:cs="Times New Roman"/>
          <w:color w:val="000000"/>
        </w:rPr>
        <w:instrText xml:space="preserve"> REF paragraph45 \h </w:instrText>
      </w:r>
      <w:r w:rsidRPr="00D3481F">
        <w:rPr>
          <w:rFonts w:ascii="Times New Roman" w:hAnsi="Times New Roman" w:cs="Times New Roman"/>
          <w:color w:val="000000"/>
        </w:rPr>
      </w:r>
      <w:r w:rsidRPr="00D3481F">
        <w:rPr>
          <w:rFonts w:ascii="Times New Roman" w:hAnsi="Times New Roman" w:cs="Times New Roman"/>
          <w:color w:val="000000"/>
        </w:rPr>
        <w:fldChar w:fldCharType="separate"/>
      </w:r>
      <w:r w:rsidR="00D3481F" w:rsidRPr="00D3481F">
        <w:rPr>
          <w:noProof/>
        </w:rPr>
        <w:t>45</w:t>
      </w:r>
      <w:r w:rsidRPr="00D3481F">
        <w:rPr>
          <w:rFonts w:ascii="Times New Roman" w:hAnsi="Times New Roman" w:cs="Times New Roman"/>
          <w:color w:val="000000"/>
        </w:rPr>
        <w:fldChar w:fldCharType="end"/>
      </w:r>
      <w:r w:rsidRPr="00D3481F">
        <w:rPr>
          <w:rFonts w:ascii="Times New Roman" w:hAnsi="Times New Roman" w:cs="Times New Roman"/>
          <w:color w:val="000000"/>
        </w:rPr>
        <w:t>-</w:t>
      </w:r>
      <w:r w:rsidRPr="00D3481F">
        <w:rPr>
          <w:rFonts w:ascii="Times New Roman" w:hAnsi="Times New Roman" w:cs="Times New Roman"/>
          <w:color w:val="000000"/>
        </w:rPr>
        <w:fldChar w:fldCharType="begin"/>
      </w:r>
      <w:r w:rsidRPr="00D3481F">
        <w:rPr>
          <w:rFonts w:ascii="Times New Roman" w:hAnsi="Times New Roman" w:cs="Times New Roman"/>
          <w:color w:val="000000"/>
        </w:rPr>
        <w:instrText xml:space="preserve"> REF paragraph46 \h </w:instrText>
      </w:r>
      <w:r w:rsidRPr="00D3481F">
        <w:rPr>
          <w:rFonts w:ascii="Times New Roman" w:hAnsi="Times New Roman" w:cs="Times New Roman"/>
          <w:color w:val="000000"/>
        </w:rPr>
      </w:r>
      <w:r w:rsidRPr="00D3481F">
        <w:rPr>
          <w:rFonts w:ascii="Times New Roman" w:hAnsi="Times New Roman" w:cs="Times New Roman"/>
          <w:color w:val="000000"/>
        </w:rPr>
        <w:fldChar w:fldCharType="separate"/>
      </w:r>
      <w:r w:rsidR="00D3481F" w:rsidRPr="00D3481F">
        <w:rPr>
          <w:noProof/>
        </w:rPr>
        <w:t>46</w:t>
      </w:r>
      <w:r w:rsidRPr="00D3481F">
        <w:rPr>
          <w:rFonts w:ascii="Times New Roman" w:hAnsi="Times New Roman" w:cs="Times New Roman"/>
          <w:color w:val="000000"/>
        </w:rPr>
        <w:fldChar w:fldCharType="end"/>
      </w:r>
      <w:r w:rsidRPr="00D3481F">
        <w:rPr>
          <w:rFonts w:ascii="Times New Roman" w:hAnsi="Times New Roman" w:cs="Times New Roman"/>
          <w:color w:val="000000"/>
        </w:rPr>
        <w:t xml:space="preserve"> ci-dessous), qui autorisaient les déplacements motivés par l</w:t>
      </w:r>
      <w:r w:rsidR="00D3481F" w:rsidRPr="00D3481F">
        <w:rPr>
          <w:rFonts w:ascii="Times New Roman" w:hAnsi="Times New Roman" w:cs="Times New Roman"/>
          <w:color w:val="000000"/>
        </w:rPr>
        <w:t>’</w:t>
      </w:r>
      <w:r w:rsidRPr="00D3481F">
        <w:rPr>
          <w:rFonts w:ascii="Times New Roman" w:hAnsi="Times New Roman" w:cs="Times New Roman"/>
          <w:color w:val="000000"/>
        </w:rPr>
        <w:t>exercice d</w:t>
      </w:r>
      <w:r w:rsidR="00D3481F" w:rsidRPr="00D3481F">
        <w:rPr>
          <w:rFonts w:ascii="Times New Roman" w:hAnsi="Times New Roman" w:cs="Times New Roman"/>
          <w:color w:val="000000"/>
        </w:rPr>
        <w:t>’</w:t>
      </w:r>
      <w:r w:rsidRPr="00D3481F">
        <w:rPr>
          <w:rFonts w:ascii="Times New Roman" w:hAnsi="Times New Roman" w:cs="Times New Roman"/>
          <w:color w:val="000000"/>
        </w:rPr>
        <w:t>un droit de visite et d</w:t>
      </w:r>
      <w:r w:rsidR="00D3481F" w:rsidRPr="00D3481F">
        <w:rPr>
          <w:rFonts w:ascii="Times New Roman" w:hAnsi="Times New Roman" w:cs="Times New Roman"/>
          <w:color w:val="000000"/>
        </w:rPr>
        <w:t>’</w:t>
      </w:r>
      <w:r w:rsidRPr="00D3481F">
        <w:rPr>
          <w:rFonts w:ascii="Times New Roman" w:hAnsi="Times New Roman" w:cs="Times New Roman"/>
          <w:color w:val="000000"/>
        </w:rPr>
        <w:t>hébergement.</w:t>
      </w:r>
    </w:p>
    <w:p w:rsidR="007F7726" w:rsidRPr="00D3481F" w:rsidRDefault="007F7726" w:rsidP="00D3481F">
      <w:pPr>
        <w:pStyle w:val="JuPara"/>
        <w:rPr>
          <w:rFonts w:ascii="Times New Roman" w:hAnsi="Times New Roman" w:cs="Times New Roman"/>
          <w:color w:val="000000"/>
        </w:rPr>
      </w:pPr>
      <w:r w:rsidRPr="00D3481F">
        <w:rPr>
          <w:rFonts w:ascii="Times New Roman" w:hAnsi="Times New Roman" w:cs="Times New Roman"/>
          <w:color w:val="000000"/>
        </w:rPr>
        <w:fldChar w:fldCharType="begin"/>
      </w:r>
      <w:r w:rsidRPr="00D3481F">
        <w:rPr>
          <w:rFonts w:ascii="Times New Roman" w:hAnsi="Times New Roman" w:cs="Times New Roman"/>
          <w:color w:val="000000"/>
        </w:rPr>
        <w:instrText xml:space="preserve"> SEQ level0 \*arabic </w:instrText>
      </w:r>
      <w:r w:rsidRPr="00D3481F">
        <w:rPr>
          <w:rFonts w:ascii="Times New Roman" w:hAnsi="Times New Roman" w:cs="Times New Roman"/>
          <w:color w:val="000000"/>
        </w:rPr>
        <w:fldChar w:fldCharType="separate"/>
      </w:r>
      <w:r w:rsidR="00D3481F" w:rsidRPr="00D3481F">
        <w:rPr>
          <w:rFonts w:ascii="Times New Roman" w:hAnsi="Times New Roman" w:cs="Times New Roman"/>
          <w:noProof/>
          <w:color w:val="000000"/>
        </w:rPr>
        <w:t>39</w:t>
      </w:r>
      <w:r w:rsidRPr="00D3481F">
        <w:rPr>
          <w:rFonts w:ascii="Times New Roman" w:hAnsi="Times New Roman" w:cs="Times New Roman"/>
          <w:color w:val="000000"/>
        </w:rPr>
        <w:fldChar w:fldCharType="end"/>
      </w:r>
      <w:r w:rsidRPr="00D3481F">
        <w:rPr>
          <w:rFonts w:ascii="Times New Roman" w:hAnsi="Times New Roman" w:cs="Times New Roman"/>
          <w:color w:val="000000"/>
        </w:rPr>
        <w:t>. </w:t>
      </w:r>
      <w:r w:rsidR="001F4609" w:rsidRPr="00D3481F">
        <w:rPr>
          <w:rFonts w:ascii="Times New Roman" w:hAnsi="Times New Roman" w:cs="Times New Roman"/>
          <w:color w:val="000000"/>
        </w:rPr>
        <w:t> </w:t>
      </w:r>
      <w:r w:rsidRPr="00D3481F">
        <w:rPr>
          <w:rFonts w:ascii="Times New Roman" w:hAnsi="Times New Roman" w:cs="Times New Roman"/>
          <w:color w:val="000000"/>
        </w:rPr>
        <w:t>Le 7 juillet 2020, les services sociaux de Rome firent savoir au requérant que les rencontres ne pouvaient pas reprendre car L.R. s</w:t>
      </w:r>
      <w:r w:rsidR="00D3481F" w:rsidRPr="00D3481F">
        <w:rPr>
          <w:rFonts w:ascii="Times New Roman" w:hAnsi="Times New Roman" w:cs="Times New Roman"/>
          <w:color w:val="000000"/>
        </w:rPr>
        <w:t>’</w:t>
      </w:r>
      <w:r w:rsidRPr="00D3481F">
        <w:rPr>
          <w:rFonts w:ascii="Times New Roman" w:hAnsi="Times New Roman" w:cs="Times New Roman"/>
          <w:color w:val="000000"/>
        </w:rPr>
        <w:t>y opposait.</w:t>
      </w:r>
    </w:p>
    <w:p w:rsidR="007F7726" w:rsidRPr="00D3481F" w:rsidRDefault="007F7726" w:rsidP="00D3481F">
      <w:pPr>
        <w:pStyle w:val="JuPara"/>
        <w:rPr>
          <w:rFonts w:ascii="Times New Roman" w:hAnsi="Times New Roman" w:cs="Times New Roman"/>
          <w:color w:val="000000"/>
        </w:rPr>
      </w:pPr>
      <w:r w:rsidRPr="00D3481F">
        <w:rPr>
          <w:rFonts w:ascii="Times New Roman" w:hAnsi="Times New Roman" w:cs="Times New Roman"/>
          <w:color w:val="000000"/>
        </w:rPr>
        <w:fldChar w:fldCharType="begin"/>
      </w:r>
      <w:r w:rsidRPr="00D3481F">
        <w:rPr>
          <w:rFonts w:ascii="Times New Roman" w:hAnsi="Times New Roman" w:cs="Times New Roman"/>
          <w:color w:val="000000"/>
        </w:rPr>
        <w:instrText xml:space="preserve"> SEQ level0 \*arabic </w:instrText>
      </w:r>
      <w:r w:rsidRPr="00D3481F">
        <w:rPr>
          <w:rFonts w:ascii="Times New Roman" w:hAnsi="Times New Roman" w:cs="Times New Roman"/>
          <w:color w:val="000000"/>
        </w:rPr>
        <w:fldChar w:fldCharType="separate"/>
      </w:r>
      <w:r w:rsidR="00D3481F" w:rsidRPr="00D3481F">
        <w:rPr>
          <w:rFonts w:ascii="Times New Roman" w:hAnsi="Times New Roman" w:cs="Times New Roman"/>
          <w:noProof/>
          <w:color w:val="000000"/>
        </w:rPr>
        <w:t>40</w:t>
      </w:r>
      <w:r w:rsidRPr="00D3481F">
        <w:rPr>
          <w:rFonts w:ascii="Times New Roman" w:hAnsi="Times New Roman" w:cs="Times New Roman"/>
          <w:color w:val="000000"/>
        </w:rPr>
        <w:fldChar w:fldCharType="end"/>
      </w:r>
      <w:r w:rsidRPr="00D3481F">
        <w:rPr>
          <w:rFonts w:ascii="Times New Roman" w:hAnsi="Times New Roman" w:cs="Times New Roman"/>
          <w:color w:val="000000"/>
        </w:rPr>
        <w:t>.  Le 18 août 2020, le requérant demanda aux services sociaux de lui faire parvenir des renseignements sur l</w:t>
      </w:r>
      <w:r w:rsidR="00D3481F" w:rsidRPr="00D3481F">
        <w:rPr>
          <w:rFonts w:ascii="Times New Roman" w:hAnsi="Times New Roman" w:cs="Times New Roman"/>
          <w:color w:val="000000"/>
        </w:rPr>
        <w:t>’</w:t>
      </w:r>
      <w:r w:rsidRPr="00D3481F">
        <w:rPr>
          <w:rFonts w:ascii="Times New Roman" w:hAnsi="Times New Roman" w:cs="Times New Roman"/>
          <w:color w:val="000000"/>
        </w:rPr>
        <w:t>état de santé de son fils, qui n</w:t>
      </w:r>
      <w:r w:rsidR="00D3481F" w:rsidRPr="00D3481F">
        <w:rPr>
          <w:rFonts w:ascii="Times New Roman" w:hAnsi="Times New Roman" w:cs="Times New Roman"/>
          <w:color w:val="000000"/>
        </w:rPr>
        <w:t>’</w:t>
      </w:r>
      <w:r w:rsidRPr="00D3481F">
        <w:rPr>
          <w:rFonts w:ascii="Times New Roman" w:hAnsi="Times New Roman" w:cs="Times New Roman"/>
          <w:color w:val="000000"/>
        </w:rPr>
        <w:t>avait pas encore été vacciné, ainsi que sur le soutien psychologique apporté à L.R.</w:t>
      </w:r>
    </w:p>
    <w:p w:rsidR="007F7726" w:rsidRPr="00D3481F" w:rsidRDefault="007F7726" w:rsidP="00D3481F">
      <w:pPr>
        <w:pStyle w:val="JuHHead"/>
      </w:pPr>
      <w:bookmarkStart w:id="8" w:name="_Hlk36127227"/>
      <w:r w:rsidRPr="00D3481F">
        <w:lastRenderedPageBreak/>
        <w:t>LE CADRE JURIDIQUE INTERNE PERTINENT</w:t>
      </w:r>
    </w:p>
    <w:bookmarkStart w:id="9" w:name="_Hlk36127236"/>
    <w:bookmarkEnd w:id="8"/>
    <w:p w:rsidR="007F7726" w:rsidRPr="00D3481F" w:rsidRDefault="007F7726" w:rsidP="00D3481F">
      <w:pPr>
        <w:pStyle w:val="JuPara"/>
      </w:pPr>
      <w:r w:rsidRPr="00D3481F">
        <w:fldChar w:fldCharType="begin"/>
      </w:r>
      <w:r w:rsidRPr="00D3481F">
        <w:instrText xml:space="preserve"> SEQ level0 \*arabic </w:instrText>
      </w:r>
      <w:r w:rsidRPr="00D3481F">
        <w:fldChar w:fldCharType="separate"/>
      </w:r>
      <w:r w:rsidR="00D3481F" w:rsidRPr="00D3481F">
        <w:rPr>
          <w:noProof/>
        </w:rPr>
        <w:t>41</w:t>
      </w:r>
      <w:r w:rsidRPr="00D3481F">
        <w:fldChar w:fldCharType="end"/>
      </w:r>
      <w:r w:rsidRPr="00D3481F">
        <w:t>.  Le droit interne pertinent en l</w:t>
      </w:r>
      <w:r w:rsidR="00D3481F" w:rsidRPr="00D3481F">
        <w:t>’</w:t>
      </w:r>
      <w:r w:rsidRPr="00D3481F">
        <w:t>espèce est décrit dans l</w:t>
      </w:r>
      <w:r w:rsidR="00D3481F" w:rsidRPr="00D3481F">
        <w:t>’</w:t>
      </w:r>
      <w:r w:rsidRPr="00D3481F">
        <w:t>arrêt </w:t>
      </w:r>
      <w:r w:rsidRPr="00D3481F">
        <w:rPr>
          <w:i/>
          <w:iCs/>
        </w:rPr>
        <w:t>R.V. et autres c. Italie</w:t>
      </w:r>
      <w:r w:rsidRPr="00D3481F">
        <w:t> (n</w:t>
      </w:r>
      <w:r w:rsidRPr="00D3481F">
        <w:rPr>
          <w:vertAlign w:val="superscript"/>
        </w:rPr>
        <w:t>o</w:t>
      </w:r>
      <w:r w:rsidRPr="00D3481F">
        <w:t> </w:t>
      </w:r>
      <w:hyperlink r:id="rId17" w:anchor="{%22appno%22:[%2237748/13%22]}" w:tgtFrame="_blank" w:history="1">
        <w:r w:rsidRPr="00D3481F">
          <w:t>37748/13</w:t>
        </w:r>
      </w:hyperlink>
      <w:r w:rsidRPr="00D3481F">
        <w:t>, §§ 65-69, 18 juillet 2019).</w:t>
      </w:r>
    </w:p>
    <w:p w:rsidR="007F7726" w:rsidRPr="00D3481F" w:rsidRDefault="007F7726" w:rsidP="00D3481F">
      <w:pPr>
        <w:pStyle w:val="JuPara"/>
      </w:pPr>
      <w:r w:rsidRPr="00D3481F">
        <w:fldChar w:fldCharType="begin"/>
      </w:r>
      <w:r w:rsidRPr="00D3481F">
        <w:instrText xml:space="preserve"> SEQ level0 \*arabic </w:instrText>
      </w:r>
      <w:r w:rsidRPr="00D3481F">
        <w:fldChar w:fldCharType="separate"/>
      </w:r>
      <w:r w:rsidR="00D3481F" w:rsidRPr="00D3481F">
        <w:rPr>
          <w:noProof/>
        </w:rPr>
        <w:t>42</w:t>
      </w:r>
      <w:r w:rsidRPr="00D3481F">
        <w:fldChar w:fldCharType="end"/>
      </w:r>
      <w:r w:rsidRPr="00D3481F">
        <w:t>.  En vertu de l</w:t>
      </w:r>
      <w:r w:rsidR="00D3481F" w:rsidRPr="00D3481F">
        <w:t>’</w:t>
      </w:r>
      <w:r w:rsidRPr="00D3481F">
        <w:t>article 337 </w:t>
      </w:r>
      <w:r w:rsidRPr="00D3481F">
        <w:rPr>
          <w:i/>
        </w:rPr>
        <w:t>ter</w:t>
      </w:r>
      <w:r w:rsidRPr="00D3481F">
        <w:t>, premier alinéa, du code civil, l</w:t>
      </w:r>
      <w:r w:rsidR="00D3481F" w:rsidRPr="00D3481F">
        <w:t>’</w:t>
      </w:r>
      <w:r w:rsidRPr="00D3481F">
        <w:t>enfant mineur a le droit d</w:t>
      </w:r>
      <w:r w:rsidR="00D3481F" w:rsidRPr="00D3481F">
        <w:t>’</w:t>
      </w:r>
      <w:r w:rsidRPr="00D3481F">
        <w:t>entretenir une relation équilibrée et continue avec chacun de ses parents, de recevoir des soins, une éducation et une assistance morale de la part de ses deux parents et d</w:t>
      </w:r>
      <w:r w:rsidR="00D3481F" w:rsidRPr="00D3481F">
        <w:t>’</w:t>
      </w:r>
      <w:r w:rsidRPr="00D3481F">
        <w:t>entretenir des relations significatives avec les ascendants et les parents de chaque branche parentale. D</w:t>
      </w:r>
      <w:r w:rsidR="00D3481F" w:rsidRPr="00D3481F">
        <w:t>’</w:t>
      </w:r>
      <w:r w:rsidRPr="00D3481F">
        <w:t>après le deuxième alinéa du même article, pour atteindre le but indiqué au premier alinéa, dans les procédures visées à l</w:t>
      </w:r>
      <w:r w:rsidR="00D3481F" w:rsidRPr="00D3481F">
        <w:t>’</w:t>
      </w:r>
      <w:r w:rsidRPr="00D3481F">
        <w:t>article 337 </w:t>
      </w:r>
      <w:r w:rsidRPr="00D3481F">
        <w:rPr>
          <w:i/>
          <w:iCs/>
        </w:rPr>
        <w:t>bis</w:t>
      </w:r>
      <w:r w:rsidRPr="00D3481F">
        <w:t xml:space="preserve"> du code civil, le juge adopte les mesures relatives aux descendants en se référant exclusivement à leurs intérêts moraux et matériels. Le juge envisage en priorité la possibilité pour les enfants mineurs de demeurer à la garde des deux parents, ou, à défaut, il décide à qui les enfants doivent être confiés et il détermine le moment et les modalités de présence auprès de chaque parent, ainsi que la proportion et les modalités selon lesquelles chacun des parents doit contribuer à l</w:t>
      </w:r>
      <w:r w:rsidR="00D3481F" w:rsidRPr="00D3481F">
        <w:t>’</w:t>
      </w:r>
      <w:r w:rsidRPr="00D3481F">
        <w:t>entretien, aux soins, à l</w:t>
      </w:r>
      <w:r w:rsidR="00D3481F" w:rsidRPr="00D3481F">
        <w:t>’</w:t>
      </w:r>
      <w:r w:rsidRPr="00D3481F">
        <w:t>éducation et à l</w:t>
      </w:r>
      <w:r w:rsidR="00D3481F" w:rsidRPr="00D3481F">
        <w:t>’</w:t>
      </w:r>
      <w:r w:rsidRPr="00D3481F">
        <w:t>instruction des enfants. Le juge peut modifier les modalités de garde et prendre acte des différents accords intervenus entre les parties.</w:t>
      </w:r>
    </w:p>
    <w:p w:rsidR="007F7726" w:rsidRPr="00D3481F" w:rsidRDefault="007F7726" w:rsidP="00D3481F">
      <w:pPr>
        <w:pStyle w:val="JuPara"/>
      </w:pPr>
      <w:r w:rsidRPr="00D3481F">
        <w:t>Le juge du fond est compétent pour la mise en œuvre des décisions relatives aux modalités de garde et peut intervenir également d</w:t>
      </w:r>
      <w:r w:rsidR="00D3481F" w:rsidRPr="00D3481F">
        <w:t>’</w:t>
      </w:r>
      <w:r w:rsidRPr="00D3481F">
        <w:t>office en cas de placement familial. À cet effet, le procureur de la République envoie une copie de la décision de placement au juge des tutelles.</w:t>
      </w:r>
    </w:p>
    <w:p w:rsidR="007F7726" w:rsidRPr="00D3481F" w:rsidRDefault="007F7726" w:rsidP="00D3481F">
      <w:pPr>
        <w:pStyle w:val="JuPara"/>
      </w:pPr>
      <w:r w:rsidRPr="00D3481F">
        <w:fldChar w:fldCharType="begin"/>
      </w:r>
      <w:r w:rsidRPr="00D3481F">
        <w:instrText xml:space="preserve"> SEQ level0 \*arabic </w:instrText>
      </w:r>
      <w:r w:rsidRPr="00D3481F">
        <w:fldChar w:fldCharType="separate"/>
      </w:r>
      <w:r w:rsidR="00D3481F" w:rsidRPr="00D3481F">
        <w:rPr>
          <w:noProof/>
        </w:rPr>
        <w:t>43</w:t>
      </w:r>
      <w:r w:rsidRPr="00D3481F">
        <w:fldChar w:fldCharType="end"/>
      </w:r>
      <w:r w:rsidRPr="00D3481F">
        <w:t>.  L</w:t>
      </w:r>
      <w:r w:rsidR="00D3481F" w:rsidRPr="00D3481F">
        <w:t>’</w:t>
      </w:r>
      <w:r w:rsidRPr="00D3481F">
        <w:t xml:space="preserve">article 709 </w:t>
      </w:r>
      <w:r w:rsidRPr="00D3481F">
        <w:rPr>
          <w:i/>
          <w:iCs/>
        </w:rPr>
        <w:t>ter</w:t>
      </w:r>
      <w:r w:rsidRPr="00D3481F">
        <w:t xml:space="preserve"> du code de procédure civile se lit ainsi dans sa partie pertinente en l</w:t>
      </w:r>
      <w:r w:rsidR="00D3481F" w:rsidRPr="00D3481F">
        <w:t>’</w:t>
      </w:r>
      <w:r w:rsidRPr="00D3481F">
        <w:t>espèce :</w:t>
      </w:r>
    </w:p>
    <w:p w:rsidR="007F7726" w:rsidRPr="00D3481F" w:rsidRDefault="007F7726" w:rsidP="00D3481F">
      <w:pPr>
        <w:pStyle w:val="JuQuot"/>
      </w:pPr>
      <w:r w:rsidRPr="00D3481F">
        <w:t>« Le juge est également compétent pour trancher tout litige survenant entre les parents au sujet de l</w:t>
      </w:r>
      <w:r w:rsidR="00D3481F" w:rsidRPr="00D3481F">
        <w:t>’</w:t>
      </w:r>
      <w:r w:rsidRPr="00D3481F">
        <w:t>exercice de l</w:t>
      </w:r>
      <w:r w:rsidR="00D3481F" w:rsidRPr="00D3481F">
        <w:t>’</w:t>
      </w:r>
      <w:r w:rsidRPr="00D3481F">
        <w:t>autorité parentale ou des modalités de garde.</w:t>
      </w:r>
    </w:p>
    <w:p w:rsidR="007F7726" w:rsidRPr="00D3481F" w:rsidRDefault="007F7726" w:rsidP="00D3481F">
      <w:pPr>
        <w:pStyle w:val="JuQuot"/>
      </w:pPr>
      <w:r w:rsidRPr="00D3481F">
        <w:t>Le juge convoque les parties et prend les mesures appropriées. En cas de non-respect grave ou d</w:t>
      </w:r>
      <w:r w:rsidR="00D3481F" w:rsidRPr="00D3481F">
        <w:t>’</w:t>
      </w:r>
      <w:r w:rsidRPr="00D3481F">
        <w:t>actes qui, de quelque manière que ce soit, portent préjudice à l</w:t>
      </w:r>
      <w:r w:rsidR="00D3481F" w:rsidRPr="00D3481F">
        <w:t>’</w:t>
      </w:r>
      <w:r w:rsidRPr="00D3481F">
        <w:t>enfant ou entravent la bonne application des modalités de garde, le tribunal peut modifier les mesures en vigueur et peut, dans le même temps :</w:t>
      </w:r>
    </w:p>
    <w:p w:rsidR="007F7726" w:rsidRPr="00D3481F" w:rsidRDefault="007F7726" w:rsidP="00D3481F">
      <w:pPr>
        <w:pStyle w:val="JuQuot"/>
      </w:pPr>
      <w:r w:rsidRPr="00D3481F">
        <w:t>1.  émettre un avertissement à l</w:t>
      </w:r>
      <w:r w:rsidR="00D3481F" w:rsidRPr="00D3481F">
        <w:t>’</w:t>
      </w:r>
      <w:r w:rsidRPr="00D3481F">
        <w:t>égard du parent défaillant ;</w:t>
      </w:r>
    </w:p>
    <w:p w:rsidR="007F7726" w:rsidRPr="00D3481F" w:rsidRDefault="007F7726" w:rsidP="00D3481F">
      <w:pPr>
        <w:pStyle w:val="JuQuot"/>
      </w:pPr>
      <w:r w:rsidRPr="00D3481F">
        <w:t>2.  condamner l</w:t>
      </w:r>
      <w:r w:rsidR="00D3481F" w:rsidRPr="00D3481F">
        <w:t>’</w:t>
      </w:r>
      <w:r w:rsidRPr="00D3481F">
        <w:t>un des parents à verser à l</w:t>
      </w:r>
      <w:r w:rsidR="00D3481F" w:rsidRPr="00D3481F">
        <w:t>’</w:t>
      </w:r>
      <w:r w:rsidRPr="00D3481F">
        <w:t>enfant une indemnité à titre de dommages-intérêts ;</w:t>
      </w:r>
    </w:p>
    <w:p w:rsidR="007F7726" w:rsidRPr="00D3481F" w:rsidRDefault="007F7726" w:rsidP="00D3481F">
      <w:pPr>
        <w:pStyle w:val="JuQuot"/>
      </w:pPr>
      <w:r w:rsidRPr="00D3481F">
        <w:t>3.  condamner l</w:t>
      </w:r>
      <w:r w:rsidR="00D3481F" w:rsidRPr="00D3481F">
        <w:t>’</w:t>
      </w:r>
      <w:r w:rsidRPr="00D3481F">
        <w:t>un des parents à verser une indemnité à l</w:t>
      </w:r>
      <w:r w:rsidR="00D3481F" w:rsidRPr="00D3481F">
        <w:t>’</w:t>
      </w:r>
      <w:r w:rsidRPr="00D3481F">
        <w:t>autre ;</w:t>
      </w:r>
    </w:p>
    <w:p w:rsidR="007F7726" w:rsidRPr="00D3481F" w:rsidRDefault="007F7726" w:rsidP="00D3481F">
      <w:pPr>
        <w:pStyle w:val="JuQuot"/>
      </w:pPr>
      <w:r w:rsidRPr="00D3481F">
        <w:t>4.  condamner le parent défaillant à payer une amende administrative d</w:t>
      </w:r>
      <w:r w:rsidR="00D3481F" w:rsidRPr="00D3481F">
        <w:t>’</w:t>
      </w:r>
      <w:r w:rsidRPr="00D3481F">
        <w:t>un montant compris entre 75 euros et 5 000 euros (...) »</w:t>
      </w:r>
    </w:p>
    <w:p w:rsidR="007F7726" w:rsidRPr="00D3481F" w:rsidRDefault="007F7726" w:rsidP="00D3481F">
      <w:pPr>
        <w:pStyle w:val="JuPara"/>
      </w:pPr>
      <w:r w:rsidRPr="00D3481F">
        <w:fldChar w:fldCharType="begin"/>
      </w:r>
      <w:r w:rsidRPr="00D3481F">
        <w:instrText xml:space="preserve"> SEQ level0 \*arabic </w:instrText>
      </w:r>
      <w:r w:rsidRPr="00D3481F">
        <w:fldChar w:fldCharType="separate"/>
      </w:r>
      <w:r w:rsidR="00D3481F" w:rsidRPr="00D3481F">
        <w:rPr>
          <w:noProof/>
        </w:rPr>
        <w:t>44</w:t>
      </w:r>
      <w:r w:rsidRPr="00D3481F">
        <w:fldChar w:fldCharType="end"/>
      </w:r>
      <w:r w:rsidRPr="00D3481F">
        <w:t>.  L</w:t>
      </w:r>
      <w:r w:rsidR="00D3481F" w:rsidRPr="00D3481F">
        <w:t>’</w:t>
      </w:r>
      <w:r w:rsidRPr="00D3481F">
        <w:t xml:space="preserve">article 614 </w:t>
      </w:r>
      <w:r w:rsidRPr="00D3481F">
        <w:rPr>
          <w:i/>
          <w:iCs/>
        </w:rPr>
        <w:t>bis</w:t>
      </w:r>
      <w:r w:rsidRPr="00D3481F">
        <w:t xml:space="preserve"> du code de procédure civile dispose ce qui suit :</w:t>
      </w:r>
    </w:p>
    <w:p w:rsidR="007F7726" w:rsidRPr="00D3481F" w:rsidRDefault="007F7726" w:rsidP="00D3481F">
      <w:pPr>
        <w:pStyle w:val="JuQuot"/>
      </w:pPr>
      <w:r w:rsidRPr="00D3481F">
        <w:t>« Les mesures indirectes de coercition :</w:t>
      </w:r>
    </w:p>
    <w:p w:rsidR="007F7726" w:rsidRPr="00D3481F" w:rsidRDefault="007F7726" w:rsidP="00D3481F">
      <w:pPr>
        <w:pStyle w:val="JuQuot"/>
      </w:pPr>
      <w:r w:rsidRPr="00D3481F">
        <w:t>En ordonnant l</w:t>
      </w:r>
      <w:r w:rsidR="00D3481F" w:rsidRPr="00D3481F">
        <w:t>’</w:t>
      </w:r>
      <w:r w:rsidRPr="00D3481F">
        <w:t>exécution d</w:t>
      </w:r>
      <w:r w:rsidR="00D3481F" w:rsidRPr="00D3481F">
        <w:t>’</w:t>
      </w:r>
      <w:r w:rsidRPr="00D3481F">
        <w:t>obligations autres que le paiement de sommes d</w:t>
      </w:r>
      <w:r w:rsidR="00D3481F" w:rsidRPr="00D3481F">
        <w:t>’</w:t>
      </w:r>
      <w:r w:rsidRPr="00D3481F">
        <w:t xml:space="preserve">argent, le juge, sauf si cela est manifestement abusif, fixe à la demande de la partie la somme qui sera due par le débiteur pour chaque violation ou inexécution ultérieure ou pour </w:t>
      </w:r>
      <w:r w:rsidRPr="00D3481F">
        <w:lastRenderedPageBreak/>
        <w:t>chaque retard dans l</w:t>
      </w:r>
      <w:r w:rsidR="00D3481F" w:rsidRPr="00D3481F">
        <w:t>’</w:t>
      </w:r>
      <w:r w:rsidRPr="00D3481F">
        <w:t>exécution de l</w:t>
      </w:r>
      <w:r w:rsidR="00D3481F" w:rsidRPr="00D3481F">
        <w:t>’</w:t>
      </w:r>
      <w:r w:rsidRPr="00D3481F">
        <w:t>ordonnance. La condamnation constitue un titre exécutoire pour le paiement des sommes dues pour chaque violation ou non-conformité.</w:t>
      </w:r>
    </w:p>
    <w:p w:rsidR="007F7726" w:rsidRPr="00D3481F" w:rsidRDefault="007F7726" w:rsidP="00D3481F">
      <w:pPr>
        <w:pStyle w:val="JuQuot"/>
      </w:pPr>
      <w:r w:rsidRPr="00D3481F">
        <w:t>Le juge fixe le montant de la somme visée au premier alinéa en tenant compte de la valeur du litige, de la nature du service, du dommage quantifié ou prévisible et de toute autre circonstance utile. »</w:t>
      </w:r>
    </w:p>
    <w:bookmarkStart w:id="10" w:name="paragraph45"/>
    <w:p w:rsidR="007F7726" w:rsidRPr="00D3481F" w:rsidRDefault="007F7726" w:rsidP="00D3481F">
      <w:pPr>
        <w:pStyle w:val="JuPara"/>
      </w:pPr>
      <w:r w:rsidRPr="00D3481F">
        <w:fldChar w:fldCharType="begin"/>
      </w:r>
      <w:r w:rsidRPr="00D3481F">
        <w:instrText xml:space="preserve"> SEQ level0 \*arabic </w:instrText>
      </w:r>
      <w:r w:rsidRPr="00D3481F">
        <w:fldChar w:fldCharType="separate"/>
      </w:r>
      <w:r w:rsidR="00D3481F" w:rsidRPr="00D3481F">
        <w:rPr>
          <w:noProof/>
        </w:rPr>
        <w:t>45</w:t>
      </w:r>
      <w:r w:rsidRPr="00D3481F">
        <w:fldChar w:fldCharType="end"/>
      </w:r>
      <w:bookmarkEnd w:id="10"/>
      <w:r w:rsidRPr="00D3481F">
        <w:t>.  Du fait de la pandémie de COVID-19 et dans le cadre des mesures de confinement prises par le Gouvernement, les 8 et 9 mars 2020, par la voie de deux DPCM (décret du président du Conseil des ministres) tous les déplacements furent interdits à l</w:t>
      </w:r>
      <w:r w:rsidR="00D3481F" w:rsidRPr="00D3481F">
        <w:t>’</w:t>
      </w:r>
      <w:r w:rsidRPr="00D3481F">
        <w:t>exception de ceux qui étaient motivés par des exigences professionnelles avérées, des situations de nécessité ou des raisons de santé.</w:t>
      </w:r>
    </w:p>
    <w:bookmarkStart w:id="11" w:name="paragraph46"/>
    <w:p w:rsidR="007F7726" w:rsidRPr="00D3481F" w:rsidRDefault="007F7726" w:rsidP="00D3481F">
      <w:pPr>
        <w:pStyle w:val="JuPara"/>
      </w:pPr>
      <w:r w:rsidRPr="00D3481F">
        <w:fldChar w:fldCharType="begin"/>
      </w:r>
      <w:r w:rsidRPr="00D3481F">
        <w:instrText xml:space="preserve"> SEQ level0 \*arabic </w:instrText>
      </w:r>
      <w:r w:rsidRPr="00D3481F">
        <w:fldChar w:fldCharType="separate"/>
      </w:r>
      <w:r w:rsidR="00D3481F" w:rsidRPr="00D3481F">
        <w:rPr>
          <w:noProof/>
        </w:rPr>
        <w:t>46</w:t>
      </w:r>
      <w:r w:rsidRPr="00D3481F">
        <w:fldChar w:fldCharType="end"/>
      </w:r>
      <w:bookmarkEnd w:id="11"/>
      <w:r w:rsidRPr="00D3481F">
        <w:t>.  Le 9 avril 2020, une foire aux questions (FAQ) fut publiée sur le site du ministère des Affaires intérieures. On pouvait y lire ce qui suit :</w:t>
      </w:r>
    </w:p>
    <w:p w:rsidR="007F7726" w:rsidRPr="00D3481F" w:rsidRDefault="007F7726" w:rsidP="00D3481F">
      <w:pPr>
        <w:pStyle w:val="JuQuot"/>
      </w:pPr>
      <w:r w:rsidRPr="00D3481F">
        <w:t>« Les déplacements permettant de rejoindre les enfants mineurs au domicile de l</w:t>
      </w:r>
      <w:r w:rsidR="00D3481F" w:rsidRPr="00D3481F">
        <w:t>’</w:t>
      </w:r>
      <w:r w:rsidRPr="00D3481F">
        <w:t>autre parent ou du parent d</w:t>
      </w:r>
      <w:r w:rsidR="00D3481F" w:rsidRPr="00D3481F">
        <w:t>’</w:t>
      </w:r>
      <w:r w:rsidRPr="00D3481F">
        <w:t>accueil, ou d</w:t>
      </w:r>
      <w:r w:rsidR="00D3481F" w:rsidRPr="00D3481F">
        <w:t>’</w:t>
      </w:r>
      <w:r w:rsidRPr="00D3481F">
        <w:t>amener les enfants à son domicile, sont autorisés d</w:t>
      </w:r>
      <w:r w:rsidR="00D3481F" w:rsidRPr="00D3481F">
        <w:t>’</w:t>
      </w:r>
      <w:r w:rsidRPr="00D3481F">
        <w:t>une commune à l</w:t>
      </w:r>
      <w:r w:rsidR="00D3481F" w:rsidRPr="00D3481F">
        <w:t>’</w:t>
      </w:r>
      <w:r w:rsidRPr="00D3481F">
        <w:t>autre également. Ces déplacements doivent en tout état de cause être effectués selon le chemin le plus court et dans le respect de toutes les règles sanitaires (personnes en quarantaine, positives, immunodéprimées, etc.), ainsi que de la manière prescrite par le juge dans les jugements de séparation ou de divorce ou, à défaut, selon l</w:t>
      </w:r>
      <w:r w:rsidR="00D3481F" w:rsidRPr="00D3481F">
        <w:t>’</w:t>
      </w:r>
      <w:r w:rsidRPr="00D3481F">
        <w:t>accord entre les parents.</w:t>
      </w:r>
    </w:p>
    <w:p w:rsidR="007F7726" w:rsidRPr="00D3481F" w:rsidRDefault="007F7726" w:rsidP="00D3481F">
      <w:pPr>
        <w:pStyle w:val="JuHHead"/>
      </w:pPr>
      <w:bookmarkStart w:id="12" w:name="_Hlk36127250"/>
      <w:bookmarkEnd w:id="9"/>
      <w:r w:rsidRPr="00D3481F">
        <w:t>EN DROIT</w:t>
      </w:r>
    </w:p>
    <w:p w:rsidR="007F7726" w:rsidRPr="00D3481F" w:rsidRDefault="007F7726" w:rsidP="00D3481F">
      <w:pPr>
        <w:pStyle w:val="JuHIRoman"/>
      </w:pPr>
      <w:bookmarkStart w:id="13" w:name="_Hlk36127423"/>
      <w:bookmarkStart w:id="14" w:name="_Hlk34839031"/>
      <w:bookmarkEnd w:id="12"/>
      <w:r w:rsidRPr="00D3481F">
        <w:t>SUR LA VIOLATION ALLÉGUÉE DE L</w:t>
      </w:r>
      <w:r w:rsidR="00D3481F" w:rsidRPr="00D3481F">
        <w:t>’</w:t>
      </w:r>
      <w:r w:rsidRPr="00D3481F">
        <w:t>ARTICLE 8 DE LA CONVENTION</w:t>
      </w:r>
      <w:bookmarkEnd w:id="13"/>
    </w:p>
    <w:bookmarkStart w:id="15" w:name="_Hlk36127545"/>
    <w:p w:rsidR="007F7726" w:rsidRPr="00D3481F" w:rsidRDefault="007F7726" w:rsidP="00D3481F">
      <w:pPr>
        <w:pStyle w:val="JuPara"/>
      </w:pPr>
      <w:r w:rsidRPr="00D3481F">
        <w:fldChar w:fldCharType="begin"/>
      </w:r>
      <w:r w:rsidRPr="00D3481F">
        <w:instrText xml:space="preserve"> SEQ level0 \*arabic </w:instrText>
      </w:r>
      <w:r w:rsidRPr="00D3481F">
        <w:fldChar w:fldCharType="separate"/>
      </w:r>
      <w:r w:rsidR="00D3481F" w:rsidRPr="00D3481F">
        <w:rPr>
          <w:noProof/>
        </w:rPr>
        <w:t>47</w:t>
      </w:r>
      <w:r w:rsidRPr="00D3481F">
        <w:fldChar w:fldCharType="end"/>
      </w:r>
      <w:r w:rsidRPr="00D3481F">
        <w:t>.  Invoquant les articles 6 et 8, le requérant</w:t>
      </w:r>
      <w:bookmarkStart w:id="16" w:name="_Hlk36127488"/>
      <w:r w:rsidRPr="00D3481F">
        <w:rPr>
          <w:rFonts w:ascii="Times New Roman" w:hAnsi="Times New Roman" w:cs="Times New Roman"/>
          <w:color w:val="000000"/>
        </w:rPr>
        <w:t xml:space="preserve"> allègue une attitude d</w:t>
      </w:r>
      <w:r w:rsidR="00D3481F" w:rsidRPr="00D3481F">
        <w:rPr>
          <w:rFonts w:ascii="Times New Roman" w:hAnsi="Times New Roman" w:cs="Times New Roman"/>
          <w:color w:val="000000"/>
        </w:rPr>
        <w:t>’</w:t>
      </w:r>
      <w:r w:rsidRPr="00D3481F">
        <w:rPr>
          <w:rFonts w:ascii="Times New Roman" w:hAnsi="Times New Roman" w:cs="Times New Roman"/>
          <w:color w:val="000000"/>
        </w:rPr>
        <w:t>opposition de la part de la mère de son enfant et il reproche aux autorités internes de ne pas avoir pris de mesures rapides de nature à assurer la mise en œuvre de son droit de visite. Il dit être ainsi privé de la possibilité d</w:t>
      </w:r>
      <w:r w:rsidR="00D3481F" w:rsidRPr="00D3481F">
        <w:rPr>
          <w:rFonts w:ascii="Times New Roman" w:hAnsi="Times New Roman" w:cs="Times New Roman"/>
          <w:color w:val="000000"/>
        </w:rPr>
        <w:t>’</w:t>
      </w:r>
      <w:r w:rsidRPr="00D3481F">
        <w:rPr>
          <w:rFonts w:ascii="Times New Roman" w:hAnsi="Times New Roman" w:cs="Times New Roman"/>
          <w:color w:val="000000"/>
        </w:rPr>
        <w:t>exercer son droit de visite dans les conditions fixées par les tribunaux et il y voit</w:t>
      </w:r>
      <w:bookmarkEnd w:id="16"/>
      <w:r w:rsidRPr="00D3481F">
        <w:t xml:space="preserve"> </w:t>
      </w:r>
      <w:r w:rsidRPr="00D3481F">
        <w:rPr>
          <w:rFonts w:ascii="Times New Roman" w:hAnsi="Times New Roman" w:cs="Times New Roman"/>
          <w:color w:val="000000"/>
        </w:rPr>
        <w:t>une atteinte au respect de son droit à la vie familiale.</w:t>
      </w:r>
      <w:r w:rsidRPr="00D3481F">
        <w:t xml:space="preserve"> Il argue qu</w:t>
      </w:r>
      <w:r w:rsidR="00D3481F" w:rsidRPr="00D3481F">
        <w:t>’</w:t>
      </w:r>
      <w:r w:rsidRPr="00D3481F">
        <w:t>il n</w:t>
      </w:r>
      <w:r w:rsidR="00D3481F" w:rsidRPr="00D3481F">
        <w:t>’</w:t>
      </w:r>
      <w:r w:rsidRPr="00D3481F">
        <w:t>a plus eu de contact seul avec son fils depuis 2014.</w:t>
      </w:r>
      <w:bookmarkStart w:id="17" w:name="_Hlk36127508"/>
    </w:p>
    <w:p w:rsidR="007F7726" w:rsidRPr="00D3481F" w:rsidRDefault="007F7726" w:rsidP="00D3481F">
      <w:pPr>
        <w:pStyle w:val="JuPara"/>
      </w:pPr>
      <w:r w:rsidRPr="00D3481F">
        <w:fldChar w:fldCharType="begin"/>
      </w:r>
      <w:r w:rsidRPr="00D3481F">
        <w:instrText xml:space="preserve"> SEQ level0 \*arabic </w:instrText>
      </w:r>
      <w:r w:rsidRPr="00D3481F">
        <w:fldChar w:fldCharType="separate"/>
      </w:r>
      <w:r w:rsidR="00D3481F" w:rsidRPr="00D3481F">
        <w:rPr>
          <w:noProof/>
        </w:rPr>
        <w:t>48</w:t>
      </w:r>
      <w:r w:rsidRPr="00D3481F">
        <w:fldChar w:fldCharType="end"/>
      </w:r>
      <w:r w:rsidRPr="00D3481F">
        <w:t>.  La Cour rappelle qu</w:t>
      </w:r>
      <w:r w:rsidR="00D3481F" w:rsidRPr="00D3481F">
        <w:t>’</w:t>
      </w:r>
      <w:r w:rsidRPr="00D3481F">
        <w:t>elle n</w:t>
      </w:r>
      <w:r w:rsidR="00D3481F" w:rsidRPr="00D3481F">
        <w:t>’</w:t>
      </w:r>
      <w:r w:rsidRPr="00D3481F">
        <w:t>est pas tenue par les moyens de droit avancés par un requérant en vertu de la Convention et de ses Protocoles et qu</w:t>
      </w:r>
      <w:r w:rsidR="00D3481F" w:rsidRPr="00D3481F">
        <w:t>’</w:t>
      </w:r>
      <w:r w:rsidRPr="00D3481F">
        <w:t>elle peut décider de la qualification juridique à donner aux faits d</w:t>
      </w:r>
      <w:r w:rsidR="00D3481F" w:rsidRPr="00D3481F">
        <w:t>’</w:t>
      </w:r>
      <w:r w:rsidRPr="00D3481F">
        <w:t>un grief en examinant celui-ci sur le terrain d</w:t>
      </w:r>
      <w:r w:rsidR="00D3481F" w:rsidRPr="00D3481F">
        <w:t>’</w:t>
      </w:r>
      <w:r w:rsidRPr="00D3481F">
        <w:t>articles ou de dispositions de la Convention autres que ceux invoqués par le requérant (</w:t>
      </w:r>
      <w:r w:rsidRPr="00D3481F">
        <w:rPr>
          <w:i/>
          <w:iCs/>
        </w:rPr>
        <w:t>Radomilja et autres c. Croatie</w:t>
      </w:r>
      <w:r w:rsidRPr="00D3481F">
        <w:t xml:space="preserve"> [GC], n</w:t>
      </w:r>
      <w:r w:rsidRPr="00D3481F">
        <w:rPr>
          <w:vertAlign w:val="superscript"/>
        </w:rPr>
        <w:t>os</w:t>
      </w:r>
      <w:r w:rsidRPr="00D3481F">
        <w:t xml:space="preserve"> </w:t>
      </w:r>
      <w:hyperlink r:id="rId18" w:anchor="{" w:history="1">
        <w:r w:rsidRPr="00D3481F">
          <w:t>37685/10</w:t>
        </w:r>
      </w:hyperlink>
      <w:r w:rsidRPr="00D3481F">
        <w:t xml:space="preserve"> et </w:t>
      </w:r>
      <w:hyperlink r:id="rId19" w:anchor="{" w:history="1">
        <w:r w:rsidRPr="00D3481F">
          <w:t>22768/12</w:t>
        </w:r>
      </w:hyperlink>
      <w:r w:rsidRPr="00D3481F">
        <w:t>, § 126, 20 mars 2018).</w:t>
      </w:r>
    </w:p>
    <w:p w:rsidR="007F7726" w:rsidRPr="00D3481F" w:rsidRDefault="007F7726" w:rsidP="00D3481F">
      <w:pPr>
        <w:pStyle w:val="JuPara"/>
      </w:pPr>
      <w:r w:rsidRPr="00D3481F">
        <w:rPr>
          <w:rFonts w:ascii="Times New Roman" w:hAnsi="Times New Roman" w:cs="Times New Roman"/>
          <w:color w:val="000000"/>
        </w:rPr>
        <w:fldChar w:fldCharType="begin"/>
      </w:r>
      <w:r w:rsidRPr="00D3481F">
        <w:rPr>
          <w:rFonts w:ascii="Times New Roman" w:hAnsi="Times New Roman" w:cs="Times New Roman"/>
          <w:color w:val="000000"/>
        </w:rPr>
        <w:instrText xml:space="preserve"> SEQ level0 \*arabic </w:instrText>
      </w:r>
      <w:r w:rsidRPr="00D3481F">
        <w:rPr>
          <w:rFonts w:ascii="Times New Roman" w:hAnsi="Times New Roman" w:cs="Times New Roman"/>
          <w:color w:val="000000"/>
        </w:rPr>
        <w:fldChar w:fldCharType="separate"/>
      </w:r>
      <w:r w:rsidR="00D3481F" w:rsidRPr="00D3481F">
        <w:rPr>
          <w:rFonts w:ascii="Times New Roman" w:hAnsi="Times New Roman" w:cs="Times New Roman"/>
          <w:noProof/>
          <w:color w:val="000000"/>
        </w:rPr>
        <w:t>49</w:t>
      </w:r>
      <w:r w:rsidRPr="00D3481F">
        <w:rPr>
          <w:rFonts w:ascii="Times New Roman" w:hAnsi="Times New Roman" w:cs="Times New Roman"/>
          <w:color w:val="000000"/>
        </w:rPr>
        <w:fldChar w:fldCharType="end"/>
      </w:r>
      <w:r w:rsidRPr="00D3481F">
        <w:rPr>
          <w:rFonts w:ascii="Times New Roman" w:hAnsi="Times New Roman" w:cs="Times New Roman"/>
          <w:color w:val="000000"/>
        </w:rPr>
        <w:t>.  La Cour relève en outre que tandis que l</w:t>
      </w:r>
      <w:r w:rsidR="00D3481F" w:rsidRPr="00D3481F">
        <w:rPr>
          <w:rFonts w:ascii="Times New Roman" w:hAnsi="Times New Roman" w:cs="Times New Roman"/>
          <w:color w:val="000000"/>
        </w:rPr>
        <w:t>’</w:t>
      </w:r>
      <w:r w:rsidRPr="00D3481F">
        <w:rPr>
          <w:rFonts w:ascii="Times New Roman" w:hAnsi="Times New Roman" w:cs="Times New Roman"/>
          <w:color w:val="000000"/>
        </w:rPr>
        <w:t>article 6 offre une garantie procédurale, à savoir le « droit à un tribunal » qui connaîtra des « droits et obligations de caractère civil », l</w:t>
      </w:r>
      <w:r w:rsidR="00D3481F" w:rsidRPr="00D3481F">
        <w:rPr>
          <w:rFonts w:ascii="Times New Roman" w:hAnsi="Times New Roman" w:cs="Times New Roman"/>
          <w:color w:val="000000"/>
        </w:rPr>
        <w:t>’</w:t>
      </w:r>
      <w:r w:rsidRPr="00D3481F">
        <w:rPr>
          <w:rFonts w:ascii="Times New Roman" w:hAnsi="Times New Roman" w:cs="Times New Roman"/>
          <w:color w:val="000000"/>
        </w:rPr>
        <w:t>article 8 répond à l</w:t>
      </w:r>
      <w:r w:rsidR="00D3481F" w:rsidRPr="00D3481F">
        <w:rPr>
          <w:rFonts w:ascii="Times New Roman" w:hAnsi="Times New Roman" w:cs="Times New Roman"/>
          <w:color w:val="000000"/>
        </w:rPr>
        <w:t>’</w:t>
      </w:r>
      <w:r w:rsidRPr="00D3481F">
        <w:rPr>
          <w:rFonts w:ascii="Times New Roman" w:hAnsi="Times New Roman" w:cs="Times New Roman"/>
          <w:color w:val="000000"/>
        </w:rPr>
        <w:t xml:space="preserve">objectif plus large de garantir le respect de la vie privée et familiale. À cet égard, elle rappelle que </w:t>
      </w:r>
      <w:bookmarkStart w:id="18" w:name="_Hlk63262599"/>
      <w:r w:rsidRPr="00D3481F">
        <w:rPr>
          <w:rFonts w:ascii="Times New Roman" w:hAnsi="Times New Roman" w:cs="Times New Roman"/>
        </w:rPr>
        <w:t>si l</w:t>
      </w:r>
      <w:r w:rsidR="00D3481F" w:rsidRPr="00D3481F">
        <w:rPr>
          <w:rFonts w:ascii="Times New Roman" w:hAnsi="Times New Roman" w:cs="Times New Roman"/>
        </w:rPr>
        <w:t>’</w:t>
      </w:r>
      <w:r w:rsidRPr="00D3481F">
        <w:rPr>
          <w:rFonts w:ascii="Times New Roman" w:hAnsi="Times New Roman" w:cs="Times New Roman"/>
        </w:rPr>
        <w:t>article 8 ne renferme aucune condition explicite de procédure</w:t>
      </w:r>
      <w:r w:rsidRPr="00D3481F">
        <w:t xml:space="preserve">, le </w:t>
      </w:r>
      <w:r w:rsidRPr="00D3481F">
        <w:lastRenderedPageBreak/>
        <w:t>processus décisionnel lié aux mesures d</w:t>
      </w:r>
      <w:r w:rsidR="00D3481F" w:rsidRPr="00D3481F">
        <w:t>’</w:t>
      </w:r>
      <w:r w:rsidRPr="00D3481F">
        <w:t>ingérence doit être équitable et propre à respecter les intérêts protégés par cette disposition</w:t>
      </w:r>
      <w:r w:rsidRPr="00D3481F">
        <w:rPr>
          <w:rFonts w:ascii="Times New Roman" w:hAnsi="Times New Roman" w:cs="Times New Roman"/>
          <w:color w:val="000000"/>
        </w:rPr>
        <w:t xml:space="preserve"> (</w:t>
      </w:r>
      <w:r w:rsidRPr="00D3481F">
        <w:rPr>
          <w:rFonts w:ascii="Times New Roman" w:hAnsi="Times New Roman" w:cs="Times New Roman"/>
          <w:i/>
          <w:iCs/>
          <w:color w:val="000000"/>
        </w:rPr>
        <w:t>Petrov et X c. Russie</w:t>
      </w:r>
      <w:r w:rsidRPr="00D3481F">
        <w:rPr>
          <w:rFonts w:ascii="Times New Roman" w:hAnsi="Times New Roman" w:cs="Times New Roman"/>
          <w:color w:val="000000"/>
        </w:rPr>
        <w:t>, n</w:t>
      </w:r>
      <w:r w:rsidRPr="00D3481F">
        <w:rPr>
          <w:rFonts w:ascii="Times New Roman" w:hAnsi="Times New Roman" w:cs="Times New Roman"/>
          <w:color w:val="000000"/>
          <w:vertAlign w:val="superscript"/>
        </w:rPr>
        <w:t>o</w:t>
      </w:r>
      <w:r w:rsidRPr="00D3481F">
        <w:rPr>
          <w:rFonts w:ascii="Times New Roman" w:hAnsi="Times New Roman" w:cs="Times New Roman"/>
          <w:color w:val="000000"/>
        </w:rPr>
        <w:t xml:space="preserve"> </w:t>
      </w:r>
      <w:bookmarkStart w:id="19" w:name="_Hlk63764224"/>
      <w:r w:rsidRPr="00D3481F">
        <w:rPr>
          <w:rFonts w:ascii="Times New Roman" w:hAnsi="Times New Roman" w:cs="Times New Roman"/>
          <w:color w:val="000000"/>
        </w:rPr>
        <w:t>23608/16</w:t>
      </w:r>
      <w:bookmarkEnd w:id="19"/>
      <w:r w:rsidRPr="00D3481F">
        <w:rPr>
          <w:rFonts w:ascii="Times New Roman" w:hAnsi="Times New Roman" w:cs="Times New Roman"/>
          <w:color w:val="000000"/>
        </w:rPr>
        <w:t>, § 101, 23 octobre 2018).</w:t>
      </w:r>
    </w:p>
    <w:bookmarkEnd w:id="18"/>
    <w:p w:rsidR="007F7726" w:rsidRPr="00D3481F" w:rsidRDefault="007F7726" w:rsidP="00D3481F">
      <w:pPr>
        <w:pStyle w:val="JuPara"/>
        <w:keepNext/>
        <w:keepLines/>
      </w:pPr>
      <w:r w:rsidRPr="00D3481F">
        <w:rPr>
          <w:rFonts w:ascii="Times New Roman" w:hAnsi="Times New Roman" w:cs="Times New Roman"/>
          <w:color w:val="000000"/>
        </w:rPr>
        <w:t>Compte tenu du lien étroit entre les griefs, la Cour examinera la requête uniquement sous l</w:t>
      </w:r>
      <w:r w:rsidR="00D3481F" w:rsidRPr="00D3481F">
        <w:rPr>
          <w:rFonts w:ascii="Times New Roman" w:hAnsi="Times New Roman" w:cs="Times New Roman"/>
          <w:color w:val="000000"/>
        </w:rPr>
        <w:t>’</w:t>
      </w:r>
      <w:r w:rsidRPr="00D3481F">
        <w:rPr>
          <w:rFonts w:ascii="Times New Roman" w:hAnsi="Times New Roman" w:cs="Times New Roman"/>
          <w:color w:val="000000"/>
        </w:rPr>
        <w:t>angle de l</w:t>
      </w:r>
      <w:r w:rsidR="00D3481F" w:rsidRPr="00D3481F">
        <w:rPr>
          <w:rFonts w:ascii="Times New Roman" w:hAnsi="Times New Roman" w:cs="Times New Roman"/>
          <w:color w:val="000000"/>
        </w:rPr>
        <w:t>’</w:t>
      </w:r>
      <w:r w:rsidRPr="00D3481F">
        <w:rPr>
          <w:rFonts w:ascii="Times New Roman" w:hAnsi="Times New Roman" w:cs="Times New Roman"/>
          <w:color w:val="000000"/>
        </w:rPr>
        <w:t>article 8, qui est libellé comme suit :</w:t>
      </w:r>
    </w:p>
    <w:bookmarkEnd w:id="17"/>
    <w:p w:rsidR="007F7726" w:rsidRPr="00D3481F" w:rsidRDefault="007F7726" w:rsidP="00D3481F">
      <w:pPr>
        <w:pStyle w:val="JuQuot"/>
        <w:keepNext/>
        <w:keepLines/>
      </w:pPr>
      <w:r w:rsidRPr="00D3481F">
        <w:t>« 1.  Toute personne a droit au respect de sa vie privée et familiale, de son domicile et de sa correspondance.</w:t>
      </w:r>
    </w:p>
    <w:p w:rsidR="007F7726" w:rsidRPr="00D3481F" w:rsidRDefault="007F7726" w:rsidP="00D3481F">
      <w:pPr>
        <w:pStyle w:val="JuQuot"/>
      </w:pPr>
      <w:r w:rsidRPr="00D3481F">
        <w:t>2.  Il ne peut y avoir ingérence d</w:t>
      </w:r>
      <w:r w:rsidR="00D3481F" w:rsidRPr="00D3481F">
        <w:t>’</w:t>
      </w:r>
      <w:r w:rsidRPr="00D3481F">
        <w:t>une autorité publique dans l</w:t>
      </w:r>
      <w:r w:rsidR="00D3481F" w:rsidRPr="00D3481F">
        <w:t>’</w:t>
      </w:r>
      <w:r w:rsidRPr="00D3481F">
        <w:t>exercice de ce droit que pour autant que cette ingérence est prévue par la loi et qu</w:t>
      </w:r>
      <w:r w:rsidR="00D3481F" w:rsidRPr="00D3481F">
        <w:t>’</w:t>
      </w:r>
      <w:r w:rsidRPr="00D3481F">
        <w:t>elle constitue une mesure qui, dans une société démocratique, est nécessaire à la sécurité nationale, à la sûreté publique, au bien</w:t>
      </w:r>
      <w:r w:rsidRPr="00D3481F">
        <w:noBreakHyphen/>
        <w:t>être économique du pays, à la défense de l</w:t>
      </w:r>
      <w:r w:rsidR="00D3481F" w:rsidRPr="00D3481F">
        <w:t>’</w:t>
      </w:r>
      <w:r w:rsidRPr="00D3481F">
        <w:t>ordre et à la prévention des infractions pénales, à la protection de la santé ou de la morale, ou à la protection des droits et libertés d</w:t>
      </w:r>
      <w:r w:rsidR="00D3481F" w:rsidRPr="00D3481F">
        <w:t>’</w:t>
      </w:r>
      <w:r w:rsidRPr="00D3481F">
        <w:t>autrui. »</w:t>
      </w:r>
    </w:p>
    <w:p w:rsidR="007F7726" w:rsidRPr="00D3481F" w:rsidRDefault="007F7726" w:rsidP="00D3481F">
      <w:pPr>
        <w:pStyle w:val="JuHA"/>
      </w:pPr>
      <w:r w:rsidRPr="00D3481F">
        <w:t>Sur la recevabilité</w:t>
      </w:r>
      <w:bookmarkEnd w:id="15"/>
    </w:p>
    <w:p w:rsidR="007F7726" w:rsidRPr="00D3481F" w:rsidRDefault="007F7726" w:rsidP="00D3481F">
      <w:pPr>
        <w:pStyle w:val="JuPara"/>
      </w:pPr>
      <w:r w:rsidRPr="00D3481F">
        <w:fldChar w:fldCharType="begin"/>
      </w:r>
      <w:r w:rsidRPr="00D3481F">
        <w:instrText xml:space="preserve"> SEQ level0 \*arabic </w:instrText>
      </w:r>
      <w:r w:rsidRPr="00D3481F">
        <w:fldChar w:fldCharType="separate"/>
      </w:r>
      <w:r w:rsidR="00D3481F" w:rsidRPr="00D3481F">
        <w:rPr>
          <w:noProof/>
        </w:rPr>
        <w:t>50</w:t>
      </w:r>
      <w:r w:rsidRPr="00D3481F">
        <w:fldChar w:fldCharType="end"/>
      </w:r>
      <w:r w:rsidRPr="00D3481F">
        <w:t>.  </w:t>
      </w:r>
      <w:bookmarkStart w:id="20" w:name="_Hlk36127558"/>
      <w:r w:rsidRPr="00D3481F">
        <w:t>Le Gouvernement excipe du non-épuisement des voies de recours internes au motif que le requérant n</w:t>
      </w:r>
      <w:r w:rsidR="00D3481F" w:rsidRPr="00D3481F">
        <w:t>’</w:t>
      </w:r>
      <w:r w:rsidRPr="00D3481F">
        <w:t>aurait pas introduit de recours devant la cour d</w:t>
      </w:r>
      <w:r w:rsidR="00D3481F" w:rsidRPr="00D3481F">
        <w:t>’</w:t>
      </w:r>
      <w:r w:rsidRPr="00D3481F">
        <w:t>appel. Il n</w:t>
      </w:r>
      <w:r w:rsidR="00D3481F" w:rsidRPr="00D3481F">
        <w:t>’</w:t>
      </w:r>
      <w:r w:rsidRPr="00D3481F">
        <w:t>aurait pas demandé non plus l</w:t>
      </w:r>
      <w:r w:rsidR="00D3481F" w:rsidRPr="00D3481F">
        <w:t>’</w:t>
      </w:r>
      <w:r w:rsidRPr="00D3481F">
        <w:t>indemnisation du préjudice subi par le mineur pour la non-communication du changement de résidence et il n</w:t>
      </w:r>
      <w:r w:rsidR="00D3481F" w:rsidRPr="00D3481F">
        <w:t>’</w:t>
      </w:r>
      <w:r w:rsidRPr="00D3481F">
        <w:t>aurait pas introduit de recours devant le juge des tutelles, chargé de surveiller l</w:t>
      </w:r>
      <w:r w:rsidR="00D3481F" w:rsidRPr="00D3481F">
        <w:t>’</w:t>
      </w:r>
      <w:r w:rsidRPr="00D3481F">
        <w:t>exécution des mesures. Par ailleurs, le requérant n</w:t>
      </w:r>
      <w:r w:rsidR="00D3481F" w:rsidRPr="00D3481F">
        <w:t>’</w:t>
      </w:r>
      <w:r w:rsidRPr="00D3481F">
        <w:t>aurait pas introduit de recours tel que prévu par la loi Pinto pour se plaindre de la durée de la procédure.</w:t>
      </w:r>
    </w:p>
    <w:p w:rsidR="007F7726" w:rsidRPr="00D3481F" w:rsidRDefault="007F7726" w:rsidP="00D3481F">
      <w:pPr>
        <w:pStyle w:val="JuPara"/>
      </w:pPr>
      <w:r w:rsidRPr="00D3481F">
        <w:fldChar w:fldCharType="begin"/>
      </w:r>
      <w:r w:rsidRPr="00D3481F">
        <w:instrText xml:space="preserve"> SEQ level0 \*arabic </w:instrText>
      </w:r>
      <w:r w:rsidRPr="00D3481F">
        <w:fldChar w:fldCharType="separate"/>
      </w:r>
      <w:r w:rsidR="00D3481F" w:rsidRPr="00D3481F">
        <w:rPr>
          <w:noProof/>
        </w:rPr>
        <w:t>51</w:t>
      </w:r>
      <w:r w:rsidRPr="00D3481F">
        <w:fldChar w:fldCharType="end"/>
      </w:r>
      <w:r w:rsidRPr="00D3481F">
        <w:t>.  Le requérant indique qu</w:t>
      </w:r>
      <w:r w:rsidR="00D3481F" w:rsidRPr="00D3481F">
        <w:t>’</w:t>
      </w:r>
      <w:r w:rsidRPr="00D3481F">
        <w:t>il a eu gain de cause devant le tribunal pour enfants de Venise, lequel a suspendu l</w:t>
      </w:r>
      <w:r w:rsidR="00D3481F" w:rsidRPr="00D3481F">
        <w:t>’</w:t>
      </w:r>
      <w:r w:rsidRPr="00D3481F">
        <w:t>autorité parentale de L.R. en lui ordonnant de suivre un parcours psychologique, et il affirme donc qu</w:t>
      </w:r>
      <w:r w:rsidR="00D3481F" w:rsidRPr="00D3481F">
        <w:t>’</w:t>
      </w:r>
      <w:r w:rsidRPr="00D3481F">
        <w:t>il n</w:t>
      </w:r>
      <w:r w:rsidR="00D3481F" w:rsidRPr="00D3481F">
        <w:t>’</w:t>
      </w:r>
      <w:r w:rsidRPr="00D3481F">
        <w:t>était pas tenu de saisir la cour d</w:t>
      </w:r>
      <w:r w:rsidR="00D3481F" w:rsidRPr="00D3481F">
        <w:t>’</w:t>
      </w:r>
      <w:r w:rsidRPr="00D3481F">
        <w:t>appel. Le requérant rappelle que le cas d</w:t>
      </w:r>
      <w:r w:rsidR="00D3481F" w:rsidRPr="00D3481F">
        <w:t>’</w:t>
      </w:r>
      <w:r w:rsidRPr="00D3481F">
        <w:t>espèce concerne une non-exécution des différentes décisions des juridictions internes (tribunal de Trévise, cour d</w:t>
      </w:r>
      <w:r w:rsidR="00D3481F" w:rsidRPr="00D3481F">
        <w:t>’</w:t>
      </w:r>
      <w:r w:rsidRPr="00D3481F">
        <w:t>appel de Venise, tribunal pour enfants de Venise).</w:t>
      </w:r>
    </w:p>
    <w:p w:rsidR="007F7726" w:rsidRPr="00D3481F" w:rsidRDefault="007F7726" w:rsidP="00D3481F">
      <w:pPr>
        <w:pStyle w:val="JuPara"/>
      </w:pPr>
      <w:r w:rsidRPr="00D3481F">
        <w:fldChar w:fldCharType="begin"/>
      </w:r>
      <w:r w:rsidRPr="00D3481F">
        <w:instrText xml:space="preserve"> SEQ level0 \*arabic </w:instrText>
      </w:r>
      <w:r w:rsidRPr="00D3481F">
        <w:fldChar w:fldCharType="separate"/>
      </w:r>
      <w:r w:rsidR="00D3481F" w:rsidRPr="00D3481F">
        <w:rPr>
          <w:noProof/>
        </w:rPr>
        <w:t>52</w:t>
      </w:r>
      <w:r w:rsidRPr="00D3481F">
        <w:fldChar w:fldCharType="end"/>
      </w:r>
      <w:r w:rsidRPr="00D3481F">
        <w:t>.  Quant au recours Pinto, le requérant souligne qu</w:t>
      </w:r>
      <w:r w:rsidR="00D3481F" w:rsidRPr="00D3481F">
        <w:t>’</w:t>
      </w:r>
      <w:r w:rsidRPr="00D3481F">
        <w:t>il s</w:t>
      </w:r>
      <w:r w:rsidR="00D3481F" w:rsidRPr="00D3481F">
        <w:t>’</w:t>
      </w:r>
      <w:r w:rsidRPr="00D3481F">
        <w:t>agit d</w:t>
      </w:r>
      <w:r w:rsidR="00D3481F" w:rsidRPr="00D3481F">
        <w:t>’</w:t>
      </w:r>
      <w:r w:rsidRPr="00D3481F">
        <w:t>un recours de nature indemnitaire et non d</w:t>
      </w:r>
      <w:r w:rsidR="00D3481F" w:rsidRPr="00D3481F">
        <w:t>’</w:t>
      </w:r>
      <w:r w:rsidRPr="00D3481F">
        <w:t>un recours tendant à accélérer la procédure, et que la Cour a déjà rejeté des exceptions similaires dans des affaires concernant l</w:t>
      </w:r>
      <w:r w:rsidR="00D3481F" w:rsidRPr="00D3481F">
        <w:t>’</w:t>
      </w:r>
      <w:r w:rsidRPr="00D3481F">
        <w:t>article 8 de la Convention.</w:t>
      </w:r>
    </w:p>
    <w:p w:rsidR="007F7726" w:rsidRPr="00D3481F" w:rsidRDefault="007F7726" w:rsidP="00D3481F">
      <w:pPr>
        <w:pStyle w:val="JuPara"/>
      </w:pPr>
      <w:r w:rsidRPr="00D3481F">
        <w:fldChar w:fldCharType="begin"/>
      </w:r>
      <w:r w:rsidRPr="00D3481F">
        <w:instrText xml:space="preserve"> SEQ level0 \*arabic </w:instrText>
      </w:r>
      <w:r w:rsidRPr="00D3481F">
        <w:fldChar w:fldCharType="separate"/>
      </w:r>
      <w:r w:rsidR="00D3481F" w:rsidRPr="00D3481F">
        <w:rPr>
          <w:noProof/>
        </w:rPr>
        <w:t>53</w:t>
      </w:r>
      <w:r w:rsidRPr="00D3481F">
        <w:fldChar w:fldCharType="end"/>
      </w:r>
      <w:r w:rsidRPr="00D3481F">
        <w:t xml:space="preserve">.  La Cour note que le </w:t>
      </w:r>
      <w:r w:rsidRPr="00D3481F">
        <w:rPr>
          <w:rFonts w:ascii="Times New Roman" w:hAnsi="Times New Roman" w:cs="Times New Roman"/>
          <w:color w:val="000000"/>
        </w:rPr>
        <w:t xml:space="preserve">grief du requérant porte sur la question de la mise en œuvre du droit de visite selon les modalités fixées par le tribunal. </w:t>
      </w:r>
      <w:r w:rsidRPr="00D3481F">
        <w:t>Elle rappelle avoir déjà affirmé dans de précédents arrêts contre l</w:t>
      </w:r>
      <w:r w:rsidR="00D3481F" w:rsidRPr="00D3481F">
        <w:t>’</w:t>
      </w:r>
      <w:r w:rsidRPr="00D3481F">
        <w:t>Italie (</w:t>
      </w:r>
      <w:r w:rsidRPr="00D3481F">
        <w:rPr>
          <w:i/>
          <w:iCs/>
        </w:rPr>
        <w:t>Terna c. Italie</w:t>
      </w:r>
      <w:r w:rsidRPr="00D3481F">
        <w:t>, n</w:t>
      </w:r>
      <w:r w:rsidRPr="00D3481F">
        <w:rPr>
          <w:vertAlign w:val="superscript"/>
        </w:rPr>
        <w:t>o</w:t>
      </w:r>
      <w:r w:rsidRPr="00D3481F">
        <w:t xml:space="preserve"> 21052/18</w:t>
      </w:r>
      <w:r w:rsidRPr="00D3481F">
        <w:rPr>
          <w:snapToGrid w:val="0"/>
        </w:rPr>
        <w:t xml:space="preserve">, § 90, </w:t>
      </w:r>
      <w:r w:rsidRPr="00D3481F">
        <w:t xml:space="preserve">14 janvier 2021 ; </w:t>
      </w:r>
      <w:r w:rsidRPr="00D3481F">
        <w:rPr>
          <w:i/>
          <w:iCs/>
        </w:rPr>
        <w:t>Strumia c. Italie</w:t>
      </w:r>
      <w:r w:rsidRPr="00D3481F">
        <w:t>, n</w:t>
      </w:r>
      <w:r w:rsidRPr="00D3481F">
        <w:rPr>
          <w:vertAlign w:val="superscript"/>
        </w:rPr>
        <w:t>o</w:t>
      </w:r>
      <w:r w:rsidRPr="00D3481F">
        <w:t> </w:t>
      </w:r>
      <w:hyperlink r:id="rId20" w:anchor="{" w:history="1">
        <w:r w:rsidRPr="00D3481F">
          <w:t>53377/13</w:t>
        </w:r>
      </w:hyperlink>
      <w:r w:rsidRPr="00D3481F">
        <w:t xml:space="preserve">, § 90, 23 juin 2016, </w:t>
      </w:r>
      <w:r w:rsidRPr="00D3481F">
        <w:rPr>
          <w:i/>
          <w:iCs/>
        </w:rPr>
        <w:t>Lombardo c. Italie</w:t>
      </w:r>
      <w:r w:rsidRPr="00D3481F">
        <w:t>, n</w:t>
      </w:r>
      <w:r w:rsidRPr="00D3481F">
        <w:rPr>
          <w:vertAlign w:val="superscript"/>
        </w:rPr>
        <w:t>o</w:t>
      </w:r>
      <w:r w:rsidRPr="00D3481F">
        <w:t> </w:t>
      </w:r>
      <w:hyperlink r:id="rId21" w:anchor="{" w:history="1">
        <w:r w:rsidRPr="00D3481F">
          <w:t>25704/11</w:t>
        </w:r>
      </w:hyperlink>
      <w:r w:rsidRPr="00D3481F">
        <w:t xml:space="preserve">, § 63, 29 janvier 2013, et </w:t>
      </w:r>
      <w:r w:rsidRPr="00D3481F">
        <w:rPr>
          <w:i/>
          <w:iCs/>
        </w:rPr>
        <w:t>Nicolò Santilli c. Italie</w:t>
      </w:r>
      <w:r w:rsidRPr="00D3481F">
        <w:t>, n</w:t>
      </w:r>
      <w:r w:rsidRPr="00D3481F">
        <w:rPr>
          <w:vertAlign w:val="superscript"/>
        </w:rPr>
        <w:t>o</w:t>
      </w:r>
      <w:r w:rsidRPr="00D3481F">
        <w:t xml:space="preserve"> </w:t>
      </w:r>
      <w:hyperlink r:id="rId22" w:anchor="{" w:history="1">
        <w:r w:rsidRPr="00D3481F">
          <w:t>51930/10</w:t>
        </w:r>
      </w:hyperlink>
      <w:r w:rsidRPr="00D3481F">
        <w:t>,</w:t>
      </w:r>
      <w:r w:rsidRPr="00D3481F">
        <w:rPr>
          <w:rFonts w:ascii="Times New Roman" w:hAnsi="Times New Roman" w:cs="Times New Roman"/>
          <w:color w:val="000000"/>
        </w:rPr>
        <w:t xml:space="preserve"> § 46, 17 décembre 2013) que les décisions du tribunal pour enfants portant notamment sur le droit de visite ne revêtaient pas un caractère définitif et qu</w:t>
      </w:r>
      <w:r w:rsidR="00D3481F" w:rsidRPr="00D3481F">
        <w:rPr>
          <w:rFonts w:ascii="Times New Roman" w:hAnsi="Times New Roman" w:cs="Times New Roman"/>
          <w:color w:val="000000"/>
        </w:rPr>
        <w:t>’</w:t>
      </w:r>
      <w:r w:rsidRPr="00D3481F">
        <w:rPr>
          <w:rFonts w:ascii="Times New Roman" w:hAnsi="Times New Roman" w:cs="Times New Roman"/>
          <w:color w:val="000000"/>
        </w:rPr>
        <w:t>elles pouvaient dès lors être modifiées à tout moment en fonction des événements liés à la situation litigieuse. Ainsi, l</w:t>
      </w:r>
      <w:r w:rsidR="00D3481F" w:rsidRPr="00D3481F">
        <w:rPr>
          <w:rFonts w:ascii="Times New Roman" w:hAnsi="Times New Roman" w:cs="Times New Roman"/>
          <w:color w:val="000000"/>
        </w:rPr>
        <w:t>’</w:t>
      </w:r>
      <w:r w:rsidRPr="00D3481F">
        <w:rPr>
          <w:rFonts w:ascii="Times New Roman" w:hAnsi="Times New Roman" w:cs="Times New Roman"/>
          <w:color w:val="000000"/>
        </w:rPr>
        <w:t xml:space="preserve">évolution de la procédure interne est la </w:t>
      </w:r>
      <w:r w:rsidRPr="00D3481F">
        <w:rPr>
          <w:rFonts w:ascii="Times New Roman" w:hAnsi="Times New Roman" w:cs="Times New Roman"/>
          <w:color w:val="000000"/>
        </w:rPr>
        <w:lastRenderedPageBreak/>
        <w:t>conséquence du caractère non définitif des décisions du tribunal pour enfants portant sur le droit de visite. Par ailleurs, la Cour note en l</w:t>
      </w:r>
      <w:r w:rsidR="00D3481F" w:rsidRPr="00D3481F">
        <w:rPr>
          <w:rFonts w:ascii="Times New Roman" w:hAnsi="Times New Roman" w:cs="Times New Roman"/>
          <w:color w:val="000000"/>
        </w:rPr>
        <w:t>’</w:t>
      </w:r>
      <w:r w:rsidRPr="00D3481F">
        <w:rPr>
          <w:rFonts w:ascii="Times New Roman" w:hAnsi="Times New Roman" w:cs="Times New Roman"/>
          <w:color w:val="000000"/>
        </w:rPr>
        <w:t>espèce que le requérant n</w:t>
      </w:r>
      <w:r w:rsidR="00D3481F" w:rsidRPr="00D3481F">
        <w:rPr>
          <w:rFonts w:ascii="Times New Roman" w:hAnsi="Times New Roman" w:cs="Times New Roman"/>
          <w:color w:val="000000"/>
        </w:rPr>
        <w:t>’</w:t>
      </w:r>
      <w:r w:rsidRPr="00D3481F">
        <w:rPr>
          <w:rFonts w:ascii="Times New Roman" w:hAnsi="Times New Roman" w:cs="Times New Roman"/>
          <w:color w:val="000000"/>
        </w:rPr>
        <w:t>a pas été en mesure d</w:t>
      </w:r>
      <w:r w:rsidR="00D3481F" w:rsidRPr="00D3481F">
        <w:rPr>
          <w:rFonts w:ascii="Times New Roman" w:hAnsi="Times New Roman" w:cs="Times New Roman"/>
          <w:color w:val="000000"/>
        </w:rPr>
        <w:t>’</w:t>
      </w:r>
      <w:r w:rsidRPr="00D3481F">
        <w:rPr>
          <w:rFonts w:ascii="Times New Roman" w:hAnsi="Times New Roman" w:cs="Times New Roman"/>
          <w:color w:val="000000"/>
        </w:rPr>
        <w:t>exercer pleinement son droit de visite depuis 2014 et qu</w:t>
      </w:r>
      <w:r w:rsidR="00D3481F" w:rsidRPr="00D3481F">
        <w:rPr>
          <w:rFonts w:ascii="Times New Roman" w:hAnsi="Times New Roman" w:cs="Times New Roman"/>
          <w:color w:val="000000"/>
        </w:rPr>
        <w:t>’</w:t>
      </w:r>
      <w:r w:rsidRPr="00D3481F">
        <w:rPr>
          <w:rFonts w:ascii="Times New Roman" w:hAnsi="Times New Roman" w:cs="Times New Roman"/>
          <w:color w:val="000000"/>
        </w:rPr>
        <w:t>il a introduit sa requête devant elle en 2019 après avoir saisi les juridictions internes à plusieurs reprises. De plus, elle observe que le requérant tire grief d</w:t>
      </w:r>
      <w:r w:rsidR="00D3481F" w:rsidRPr="00D3481F">
        <w:rPr>
          <w:rFonts w:ascii="Times New Roman" w:hAnsi="Times New Roman" w:cs="Times New Roman"/>
          <w:color w:val="000000"/>
        </w:rPr>
        <w:t>’</w:t>
      </w:r>
      <w:r w:rsidRPr="00D3481F">
        <w:rPr>
          <w:rFonts w:ascii="Times New Roman" w:hAnsi="Times New Roman" w:cs="Times New Roman"/>
          <w:color w:val="000000"/>
        </w:rPr>
        <w:t>une situation qui perdure depuis 2014 et qui n</w:t>
      </w:r>
      <w:r w:rsidR="00D3481F" w:rsidRPr="00D3481F">
        <w:rPr>
          <w:rFonts w:ascii="Times New Roman" w:hAnsi="Times New Roman" w:cs="Times New Roman"/>
          <w:color w:val="000000"/>
        </w:rPr>
        <w:t>’</w:t>
      </w:r>
      <w:r w:rsidRPr="00D3481F">
        <w:rPr>
          <w:rFonts w:ascii="Times New Roman" w:hAnsi="Times New Roman" w:cs="Times New Roman"/>
          <w:color w:val="000000"/>
        </w:rPr>
        <w:t>a pas encore pris fin aujourd</w:t>
      </w:r>
      <w:r w:rsidR="00D3481F" w:rsidRPr="00D3481F">
        <w:rPr>
          <w:rFonts w:ascii="Times New Roman" w:hAnsi="Times New Roman" w:cs="Times New Roman"/>
          <w:color w:val="000000"/>
        </w:rPr>
        <w:t>’</w:t>
      </w:r>
      <w:r w:rsidRPr="00D3481F">
        <w:rPr>
          <w:rFonts w:ascii="Times New Roman" w:hAnsi="Times New Roman" w:cs="Times New Roman"/>
          <w:color w:val="000000"/>
        </w:rPr>
        <w:t>hui, et que l</w:t>
      </w:r>
      <w:r w:rsidR="00D3481F" w:rsidRPr="00D3481F">
        <w:rPr>
          <w:rFonts w:ascii="Times New Roman" w:hAnsi="Times New Roman" w:cs="Times New Roman"/>
          <w:color w:val="000000"/>
        </w:rPr>
        <w:t>’</w:t>
      </w:r>
      <w:r w:rsidRPr="00D3481F">
        <w:rPr>
          <w:rFonts w:ascii="Times New Roman" w:hAnsi="Times New Roman" w:cs="Times New Roman"/>
          <w:color w:val="000000"/>
        </w:rPr>
        <w:t>intéressé avait à sa disposition cette voie de recours interne pour se plaindre de l</w:t>
      </w:r>
      <w:r w:rsidR="00D3481F" w:rsidRPr="00D3481F">
        <w:rPr>
          <w:rFonts w:ascii="Times New Roman" w:hAnsi="Times New Roman" w:cs="Times New Roman"/>
          <w:color w:val="000000"/>
        </w:rPr>
        <w:t>’</w:t>
      </w:r>
      <w:r w:rsidRPr="00D3481F">
        <w:rPr>
          <w:rFonts w:ascii="Times New Roman" w:hAnsi="Times New Roman" w:cs="Times New Roman"/>
          <w:color w:val="000000"/>
        </w:rPr>
        <w:t xml:space="preserve">interruption </w:t>
      </w:r>
      <w:r w:rsidRPr="00D3481F">
        <w:t>des contacts avec son fils (</w:t>
      </w:r>
      <w:r w:rsidRPr="00D3481F">
        <w:rPr>
          <w:i/>
          <w:iCs/>
        </w:rPr>
        <w:t xml:space="preserve">Terna, </w:t>
      </w:r>
      <w:r w:rsidRPr="00D3481F">
        <w:t>précité</w:t>
      </w:r>
      <w:r w:rsidRPr="00D3481F">
        <w:rPr>
          <w:i/>
          <w:iCs/>
        </w:rPr>
        <w:t xml:space="preserve"> </w:t>
      </w:r>
      <w:r w:rsidRPr="00D3481F">
        <w:rPr>
          <w:snapToGrid w:val="0"/>
        </w:rPr>
        <w:t>§ 90</w:t>
      </w:r>
      <w:r w:rsidRPr="00D3481F">
        <w:t xml:space="preserve">; </w:t>
      </w:r>
      <w:r w:rsidRPr="00D3481F">
        <w:rPr>
          <w:i/>
          <w:iCs/>
        </w:rPr>
        <w:t>Strumia</w:t>
      </w:r>
      <w:r w:rsidRPr="00D3481F">
        <w:t xml:space="preserve">, précité § 90, </w:t>
      </w:r>
      <w:r w:rsidRPr="00D3481F">
        <w:rPr>
          <w:i/>
          <w:iCs/>
        </w:rPr>
        <w:t>Lombardo c. Italie</w:t>
      </w:r>
      <w:r w:rsidRPr="00D3481F">
        <w:t>, n</w:t>
      </w:r>
      <w:r w:rsidRPr="00D3481F">
        <w:rPr>
          <w:vertAlign w:val="superscript"/>
        </w:rPr>
        <w:t>o </w:t>
      </w:r>
      <w:hyperlink r:id="rId23" w:anchor="{" w:history="1">
        <w:r w:rsidRPr="00D3481F">
          <w:t>25704/11</w:t>
        </w:r>
      </w:hyperlink>
      <w:r w:rsidRPr="00D3481F">
        <w:t xml:space="preserve">, § 63, 29 janvier 2013, et </w:t>
      </w:r>
      <w:r w:rsidRPr="00D3481F">
        <w:rPr>
          <w:i/>
          <w:iCs/>
        </w:rPr>
        <w:t>Nicolò Santilli</w:t>
      </w:r>
      <w:r w:rsidRPr="00D3481F">
        <w:t>, précité, § 46).</w:t>
      </w:r>
    </w:p>
    <w:p w:rsidR="007F7726" w:rsidRPr="00D3481F" w:rsidRDefault="007F7726" w:rsidP="00D3481F">
      <w:pPr>
        <w:pStyle w:val="JuPara"/>
      </w:pPr>
      <w:r w:rsidRPr="00D3481F">
        <w:fldChar w:fldCharType="begin"/>
      </w:r>
      <w:r w:rsidRPr="00D3481F">
        <w:instrText xml:space="preserve"> SEQ level0 \*arabic </w:instrText>
      </w:r>
      <w:r w:rsidRPr="00D3481F">
        <w:fldChar w:fldCharType="separate"/>
      </w:r>
      <w:r w:rsidR="00D3481F" w:rsidRPr="00D3481F">
        <w:rPr>
          <w:noProof/>
        </w:rPr>
        <w:t>54</w:t>
      </w:r>
      <w:r w:rsidRPr="00D3481F">
        <w:fldChar w:fldCharType="end"/>
      </w:r>
      <w:r w:rsidRPr="00D3481F">
        <w:t>.  Quant au fait que le requérant n</w:t>
      </w:r>
      <w:r w:rsidR="00D3481F" w:rsidRPr="00D3481F">
        <w:t>’</w:t>
      </w:r>
      <w:r w:rsidRPr="00D3481F">
        <w:t>aurait pas épuisé le recours Pinto pour se plaindre de la longueur de la procédure, la Cour rappelle que dans les procédures dont la durée produit un impact évident sur la vie familiale du requérant (et qui relèvent donc de l</w:t>
      </w:r>
      <w:r w:rsidR="00D3481F" w:rsidRPr="00D3481F">
        <w:t>’</w:t>
      </w:r>
      <w:r w:rsidRPr="00D3481F">
        <w:t>article 8 de la Convention), elle a estimé qu</w:t>
      </w:r>
      <w:r w:rsidR="00D3481F" w:rsidRPr="00D3481F">
        <w:t>’</w:t>
      </w:r>
      <w:r w:rsidRPr="00D3481F">
        <w:t>une approche plus rigide s</w:t>
      </w:r>
      <w:r w:rsidR="00D3481F" w:rsidRPr="00D3481F">
        <w:t>’</w:t>
      </w:r>
      <w:r w:rsidRPr="00D3481F">
        <w:t>impose, qui oblige les États à mettre en place un recours à la fois préventif et compensatoire (</w:t>
      </w:r>
      <w:r w:rsidRPr="00D3481F">
        <w:rPr>
          <w:i/>
        </w:rPr>
        <w:t>Kuppinger c. Allemagne</w:t>
      </w:r>
      <w:r w:rsidRPr="00D3481F">
        <w:t>, n</w:t>
      </w:r>
      <w:r w:rsidRPr="00D3481F">
        <w:rPr>
          <w:vertAlign w:val="superscript"/>
        </w:rPr>
        <w:t>o</w:t>
      </w:r>
      <w:r w:rsidRPr="00D3481F">
        <w:t xml:space="preserve"> 62198/11</w:t>
      </w:r>
      <w:r w:rsidRPr="00D3481F">
        <w:rPr>
          <w:snapToGrid w:val="0"/>
        </w:rPr>
        <w:t xml:space="preserve">, § 143 15 </w:t>
      </w:r>
      <w:r w:rsidRPr="00D3481F">
        <w:t>janvier</w:t>
      </w:r>
      <w:r w:rsidRPr="00D3481F">
        <w:rPr>
          <w:snapToGrid w:val="0"/>
        </w:rPr>
        <w:t xml:space="preserve"> 2015, et </w:t>
      </w:r>
      <w:r w:rsidRPr="00D3481F">
        <w:rPr>
          <w:i/>
        </w:rPr>
        <w:t>Macready c. République tchèque</w:t>
      </w:r>
      <w:r w:rsidRPr="00D3481F">
        <w:t>, n</w:t>
      </w:r>
      <w:r w:rsidRPr="00D3481F">
        <w:rPr>
          <w:vertAlign w:val="superscript"/>
        </w:rPr>
        <w:t>os</w:t>
      </w:r>
      <w:r w:rsidRPr="00D3481F">
        <w:t xml:space="preserve"> 4824/06 et 15512/08</w:t>
      </w:r>
      <w:r w:rsidRPr="00D3481F">
        <w:rPr>
          <w:snapToGrid w:val="0"/>
        </w:rPr>
        <w:t xml:space="preserve">, § 48, 22 </w:t>
      </w:r>
      <w:r w:rsidRPr="00D3481F">
        <w:t>avril</w:t>
      </w:r>
      <w:r w:rsidRPr="00D3481F">
        <w:rPr>
          <w:snapToGrid w:val="0"/>
        </w:rPr>
        <w:t xml:space="preserve"> 2010</w:t>
      </w:r>
      <w:r w:rsidRPr="00D3481F">
        <w:t>). La Cour a observé à cet égard que l</w:t>
      </w:r>
      <w:r w:rsidR="00D3481F" w:rsidRPr="00D3481F">
        <w:t>’</w:t>
      </w:r>
      <w:r w:rsidRPr="00D3481F">
        <w:t>obligation positive incombant à l</w:t>
      </w:r>
      <w:r w:rsidR="00D3481F" w:rsidRPr="00D3481F">
        <w:t>’</w:t>
      </w:r>
      <w:r w:rsidRPr="00D3481F">
        <w:t>État de prendre des mesures appropriées pour assurer le droit du requérant au respect de sa vie familiale risquait de devenir illusoire si l</w:t>
      </w:r>
      <w:r w:rsidR="00D3481F" w:rsidRPr="00D3481F">
        <w:t>’</w:t>
      </w:r>
      <w:r w:rsidRPr="00D3481F">
        <w:t>intéressé n</w:t>
      </w:r>
      <w:r w:rsidR="00D3481F" w:rsidRPr="00D3481F">
        <w:t>’</w:t>
      </w:r>
      <w:r w:rsidRPr="00D3481F">
        <w:t>avait à sa disposition qu</w:t>
      </w:r>
      <w:r w:rsidR="00D3481F" w:rsidRPr="00D3481F">
        <w:t>’</w:t>
      </w:r>
      <w:r w:rsidRPr="00D3481F">
        <w:t>un recours compensatoire ne pouvant aboutir qu</w:t>
      </w:r>
      <w:r w:rsidR="00D3481F" w:rsidRPr="00D3481F">
        <w:t>’</w:t>
      </w:r>
      <w:r w:rsidRPr="00D3481F">
        <w:t>à l</w:t>
      </w:r>
      <w:r w:rsidR="00D3481F" w:rsidRPr="00D3481F">
        <w:t>’</w:t>
      </w:r>
      <w:r w:rsidRPr="00D3481F">
        <w:t xml:space="preserve">octroi </w:t>
      </w:r>
      <w:r w:rsidRPr="00D3481F">
        <w:rPr>
          <w:i/>
          <w:iCs/>
        </w:rPr>
        <w:t>a posteriori</w:t>
      </w:r>
      <w:r w:rsidRPr="00D3481F">
        <w:t xml:space="preserve"> d</w:t>
      </w:r>
      <w:r w:rsidR="00D3481F" w:rsidRPr="00D3481F">
        <w:t>’</w:t>
      </w:r>
      <w:r w:rsidRPr="00D3481F">
        <w:t>une compensation pécuniaire (</w:t>
      </w:r>
      <w:r w:rsidRPr="00D3481F">
        <w:rPr>
          <w:i/>
          <w:iCs/>
        </w:rPr>
        <w:t>Macready,</w:t>
      </w:r>
      <w:r w:rsidRPr="00D3481F">
        <w:t xml:space="preserve"> </w:t>
      </w:r>
      <w:r w:rsidRPr="00D3481F">
        <w:rPr>
          <w:i/>
          <w:iCs/>
        </w:rPr>
        <w:t>ibidem</w:t>
      </w:r>
      <w:r w:rsidRPr="00D3481F">
        <w:t>).</w:t>
      </w:r>
    </w:p>
    <w:p w:rsidR="007F7726" w:rsidRPr="00D3481F" w:rsidRDefault="007F7726" w:rsidP="00D3481F">
      <w:pPr>
        <w:pStyle w:val="JuPara"/>
      </w:pPr>
      <w:r w:rsidRPr="00D3481F">
        <w:fldChar w:fldCharType="begin"/>
      </w:r>
      <w:r w:rsidRPr="00D3481F">
        <w:instrText xml:space="preserve"> SEQ level0 \*arabic </w:instrText>
      </w:r>
      <w:r w:rsidRPr="00D3481F">
        <w:fldChar w:fldCharType="separate"/>
      </w:r>
      <w:r w:rsidR="00D3481F" w:rsidRPr="00D3481F">
        <w:rPr>
          <w:noProof/>
        </w:rPr>
        <w:t>55</w:t>
      </w:r>
      <w:r w:rsidRPr="00D3481F">
        <w:fldChar w:fldCharType="end"/>
      </w:r>
      <w:r w:rsidRPr="00D3481F">
        <w:t>.  Constatant que la requête n</w:t>
      </w:r>
      <w:r w:rsidR="00D3481F" w:rsidRPr="00D3481F">
        <w:t>’</w:t>
      </w:r>
      <w:r w:rsidRPr="00D3481F">
        <w:t>est pas manifestement mal fondée ni irrecevable pour un autre motif visé à l</w:t>
      </w:r>
      <w:r w:rsidR="00D3481F" w:rsidRPr="00D3481F">
        <w:t>’</w:t>
      </w:r>
      <w:r w:rsidRPr="00D3481F">
        <w:t>article 35 de la Convention, la Cour la déclare recevable.</w:t>
      </w:r>
    </w:p>
    <w:p w:rsidR="007F7726" w:rsidRPr="00D3481F" w:rsidRDefault="007F7726" w:rsidP="00D3481F">
      <w:pPr>
        <w:pStyle w:val="JuHA"/>
      </w:pPr>
      <w:bookmarkStart w:id="21" w:name="_Hlk36127650"/>
      <w:bookmarkEnd w:id="20"/>
      <w:r w:rsidRPr="00D3481F">
        <w:t>Sur le fond</w:t>
      </w:r>
      <w:bookmarkEnd w:id="21"/>
    </w:p>
    <w:p w:rsidR="007F7726" w:rsidRPr="00D3481F" w:rsidRDefault="007F7726" w:rsidP="00D3481F">
      <w:pPr>
        <w:pStyle w:val="JuH1"/>
      </w:pPr>
      <w:r w:rsidRPr="00D3481F">
        <w:t>Thèses des parties</w:t>
      </w:r>
    </w:p>
    <w:p w:rsidR="007F7726" w:rsidRPr="00D3481F" w:rsidRDefault="007F7726" w:rsidP="00D3481F">
      <w:pPr>
        <w:pStyle w:val="JuHa0"/>
      </w:pPr>
      <w:r w:rsidRPr="00D3481F">
        <w:t>Le requérant</w:t>
      </w:r>
    </w:p>
    <w:p w:rsidR="007F7726" w:rsidRPr="00D3481F" w:rsidRDefault="007F7726" w:rsidP="00D3481F">
      <w:pPr>
        <w:pStyle w:val="JuPara"/>
      </w:pPr>
      <w:r w:rsidRPr="00D3481F">
        <w:fldChar w:fldCharType="begin"/>
      </w:r>
      <w:r w:rsidRPr="00D3481F">
        <w:instrText xml:space="preserve"> SEQ level0 \*arabic </w:instrText>
      </w:r>
      <w:r w:rsidRPr="00D3481F">
        <w:fldChar w:fldCharType="separate"/>
      </w:r>
      <w:r w:rsidR="00D3481F" w:rsidRPr="00D3481F">
        <w:rPr>
          <w:noProof/>
        </w:rPr>
        <w:t>56</w:t>
      </w:r>
      <w:r w:rsidRPr="00D3481F">
        <w:fldChar w:fldCharType="end"/>
      </w:r>
      <w:r w:rsidRPr="00D3481F">
        <w:t>.  Le requérant rappelle avoir pu exercer son rôle de père exclusivement du 12 avril 2014, jour de la naissance de son fils, au 19 juillet 2014, jour de la soustraction de son fils par L.R. Il indique que depuis 2014, il a pu passer seulement 126 heures au total seul avec son fils.</w:t>
      </w:r>
    </w:p>
    <w:p w:rsidR="007F7726" w:rsidRPr="00D3481F" w:rsidRDefault="007F7726" w:rsidP="00D3481F">
      <w:pPr>
        <w:pStyle w:val="JuPara"/>
      </w:pPr>
      <w:r w:rsidRPr="00D3481F">
        <w:fldChar w:fldCharType="begin"/>
      </w:r>
      <w:r w:rsidRPr="00D3481F">
        <w:instrText xml:space="preserve"> SEQ level0 \*arabic </w:instrText>
      </w:r>
      <w:r w:rsidRPr="00D3481F">
        <w:fldChar w:fldCharType="separate"/>
      </w:r>
      <w:r w:rsidR="00D3481F" w:rsidRPr="00D3481F">
        <w:rPr>
          <w:noProof/>
        </w:rPr>
        <w:t>57</w:t>
      </w:r>
      <w:r w:rsidRPr="00D3481F">
        <w:fldChar w:fldCharType="end"/>
      </w:r>
      <w:r w:rsidRPr="00D3481F">
        <w:t>.  Il expose qu</w:t>
      </w:r>
      <w:r w:rsidR="00D3481F" w:rsidRPr="00D3481F">
        <w:t>’</w:t>
      </w:r>
      <w:r w:rsidRPr="00D3481F">
        <w:t>à ce jour il n</w:t>
      </w:r>
      <w:r w:rsidR="00D3481F" w:rsidRPr="00D3481F">
        <w:t>’</w:t>
      </w:r>
      <w:r w:rsidRPr="00D3481F">
        <w:t>a pas la possibilité de voir son fils nonobstant toutes les décisions lui reconnaissant un droit de visite. Il avance que les autorités ont toléré pendant sept ans que la mère s</w:t>
      </w:r>
      <w:r w:rsidR="00D3481F" w:rsidRPr="00D3481F">
        <w:t>’</w:t>
      </w:r>
      <w:r w:rsidRPr="00D3481F">
        <w:t>opposât à toute relation entre lui et l</w:t>
      </w:r>
      <w:r w:rsidR="00D3481F" w:rsidRPr="00D3481F">
        <w:t>’</w:t>
      </w:r>
      <w:r w:rsidRPr="00D3481F">
        <w:t>enfant. Il ajoute que, malgré la décision de confier la garde de l</w:t>
      </w:r>
      <w:r w:rsidR="00D3481F" w:rsidRPr="00D3481F">
        <w:t>’</w:t>
      </w:r>
      <w:r w:rsidRPr="00D3481F">
        <w:t>enfant aux services sociaux, L.R. continue à se comporter de la même manière, que les autorités restent inertes et qu</w:t>
      </w:r>
      <w:r w:rsidR="00D3481F" w:rsidRPr="00D3481F">
        <w:t>’</w:t>
      </w:r>
      <w:r w:rsidRPr="00D3481F">
        <w:t>aucune mesure adéquate de nature à favoriser efficacement la reprise des rencontres n</w:t>
      </w:r>
      <w:r w:rsidR="00D3481F" w:rsidRPr="00D3481F">
        <w:t>’</w:t>
      </w:r>
      <w:r w:rsidRPr="00D3481F">
        <w:t>a été mise en place.</w:t>
      </w:r>
    </w:p>
    <w:p w:rsidR="007F7726" w:rsidRPr="00D3481F" w:rsidRDefault="007F7726" w:rsidP="00D3481F">
      <w:pPr>
        <w:pStyle w:val="JuPara"/>
      </w:pPr>
      <w:r w:rsidRPr="00D3481F">
        <w:lastRenderedPageBreak/>
        <w:fldChar w:fldCharType="begin"/>
      </w:r>
      <w:r w:rsidRPr="00D3481F">
        <w:instrText xml:space="preserve"> SEQ level0 \*arabic </w:instrText>
      </w:r>
      <w:r w:rsidRPr="00D3481F">
        <w:fldChar w:fldCharType="separate"/>
      </w:r>
      <w:r w:rsidR="00D3481F" w:rsidRPr="00D3481F">
        <w:rPr>
          <w:noProof/>
        </w:rPr>
        <w:t>58</w:t>
      </w:r>
      <w:r w:rsidRPr="00D3481F">
        <w:fldChar w:fldCharType="end"/>
      </w:r>
      <w:r w:rsidRPr="00D3481F">
        <w:t>.  Il assure que pendant cette période, les tribunaux ont laissé à la mère de l</w:t>
      </w:r>
      <w:r w:rsidR="00D3481F" w:rsidRPr="00D3481F">
        <w:t>’</w:t>
      </w:r>
      <w:r w:rsidRPr="00D3481F">
        <w:t>enfant la liberté de choisir unilatéralement les modalités des contacts entre le requérant et son fils. Il rappelle que ce comportement a déjà été critiqué par la Cour dans l</w:t>
      </w:r>
      <w:r w:rsidR="00D3481F" w:rsidRPr="00D3481F">
        <w:t>’</w:t>
      </w:r>
      <w:r w:rsidRPr="00D3481F">
        <w:t xml:space="preserve">arrêt </w:t>
      </w:r>
      <w:r w:rsidRPr="00D3481F">
        <w:rPr>
          <w:i/>
        </w:rPr>
        <w:t>Improta c. Italie</w:t>
      </w:r>
      <w:r w:rsidRPr="00D3481F">
        <w:t xml:space="preserve"> (n</w:t>
      </w:r>
      <w:r w:rsidRPr="00D3481F">
        <w:rPr>
          <w:vertAlign w:val="superscript"/>
        </w:rPr>
        <w:t>o</w:t>
      </w:r>
      <w:r w:rsidRPr="00D3481F">
        <w:t xml:space="preserve"> 66396/14, 4 mai 2017).</w:t>
      </w:r>
    </w:p>
    <w:p w:rsidR="007F7726" w:rsidRPr="00D3481F" w:rsidRDefault="007F7726" w:rsidP="00D3481F">
      <w:pPr>
        <w:pStyle w:val="JuPara"/>
      </w:pPr>
      <w:r w:rsidRPr="00D3481F">
        <w:fldChar w:fldCharType="begin"/>
      </w:r>
      <w:r w:rsidRPr="00D3481F">
        <w:instrText xml:space="preserve"> SEQ level0 \*arabic </w:instrText>
      </w:r>
      <w:r w:rsidRPr="00D3481F">
        <w:fldChar w:fldCharType="separate"/>
      </w:r>
      <w:r w:rsidR="00D3481F" w:rsidRPr="00D3481F">
        <w:rPr>
          <w:noProof/>
        </w:rPr>
        <w:t>59</w:t>
      </w:r>
      <w:r w:rsidRPr="00D3481F">
        <w:fldChar w:fldCharType="end"/>
      </w:r>
      <w:r w:rsidRPr="00D3481F">
        <w:t>.  Il argue que l</w:t>
      </w:r>
      <w:r w:rsidR="00D3481F" w:rsidRPr="00D3481F">
        <w:t>’</w:t>
      </w:r>
      <w:r w:rsidRPr="00D3481F">
        <w:t>État doit, par l</w:t>
      </w:r>
      <w:r w:rsidR="00D3481F" w:rsidRPr="00D3481F">
        <w:t>’</w:t>
      </w:r>
      <w:r w:rsidRPr="00D3481F">
        <w:t>intermédiaire de ses organes (y compris les services sociaux) faire des efforts adéquats et efficaces pour exécuter les décisions judiciaires dans le respect de l</w:t>
      </w:r>
      <w:r w:rsidR="00D3481F" w:rsidRPr="00D3481F">
        <w:t>’</w:t>
      </w:r>
      <w:r w:rsidRPr="00D3481F">
        <w:t>intérêt supérieur de l</w:t>
      </w:r>
      <w:r w:rsidR="00D3481F" w:rsidRPr="00D3481F">
        <w:t>’</w:t>
      </w:r>
      <w:r w:rsidRPr="00D3481F">
        <w:t>enfant et que l</w:t>
      </w:r>
      <w:r w:rsidR="00D3481F" w:rsidRPr="00D3481F">
        <w:t>’</w:t>
      </w:r>
      <w:r w:rsidRPr="00D3481F">
        <w:t>utilisation de sanctions contre le parent cohabitant qui, par son comportement illégitime, fait obstacle à la relation avec l</w:t>
      </w:r>
      <w:r w:rsidR="00D3481F" w:rsidRPr="00D3481F">
        <w:t>’</w:t>
      </w:r>
      <w:r w:rsidRPr="00D3481F">
        <w:t>autre parent, ne peut être exclue (</w:t>
      </w:r>
      <w:r w:rsidRPr="00D3481F">
        <w:rPr>
          <w:i/>
        </w:rPr>
        <w:t>V.A.M. c. Serbie</w:t>
      </w:r>
      <w:r w:rsidRPr="00D3481F">
        <w:t>, n</w:t>
      </w:r>
      <w:r w:rsidRPr="00D3481F">
        <w:rPr>
          <w:vertAlign w:val="superscript"/>
        </w:rPr>
        <w:t>o</w:t>
      </w:r>
      <w:r w:rsidRPr="00D3481F">
        <w:t xml:space="preserve"> 39177/05, 13 mars 2007).</w:t>
      </w:r>
    </w:p>
    <w:p w:rsidR="007F7726" w:rsidRPr="00D3481F" w:rsidRDefault="007F7726" w:rsidP="00D3481F">
      <w:pPr>
        <w:pStyle w:val="JuPara"/>
      </w:pPr>
      <w:r w:rsidRPr="00D3481F">
        <w:fldChar w:fldCharType="begin"/>
      </w:r>
      <w:r w:rsidRPr="00D3481F">
        <w:instrText xml:space="preserve"> SEQ level0 \*arabic </w:instrText>
      </w:r>
      <w:r w:rsidRPr="00D3481F">
        <w:fldChar w:fldCharType="separate"/>
      </w:r>
      <w:r w:rsidR="00D3481F" w:rsidRPr="00D3481F">
        <w:rPr>
          <w:noProof/>
        </w:rPr>
        <w:t>60</w:t>
      </w:r>
      <w:r w:rsidRPr="00D3481F">
        <w:fldChar w:fldCharType="end"/>
      </w:r>
      <w:r w:rsidRPr="00D3481F">
        <w:t>.  Le requérant remarque que dans cette affaire, les juridictions internes n</w:t>
      </w:r>
      <w:r w:rsidR="00D3481F" w:rsidRPr="00D3481F">
        <w:t>’</w:t>
      </w:r>
      <w:r w:rsidRPr="00D3481F">
        <w:t>ont même pas envisagé de recourir à la coercition pour faire exécuter les décisions judiciaires reconnaissant l</w:t>
      </w:r>
      <w:r w:rsidR="00D3481F" w:rsidRPr="00D3481F">
        <w:t>’</w:t>
      </w:r>
      <w:r w:rsidRPr="00D3481F">
        <w:t>illégitimité du transfert de la résidence de l</w:t>
      </w:r>
      <w:r w:rsidR="00D3481F" w:rsidRPr="00D3481F">
        <w:t>’</w:t>
      </w:r>
      <w:r w:rsidRPr="00D3481F">
        <w:t>enfant par L.R. Il avance qu</w:t>
      </w:r>
      <w:r w:rsidR="00D3481F" w:rsidRPr="00D3481F">
        <w:t>’</w:t>
      </w:r>
      <w:r w:rsidRPr="00D3481F">
        <w:t>au contraire, face à l</w:t>
      </w:r>
      <w:r w:rsidR="00D3481F" w:rsidRPr="00D3481F">
        <w:t>’</w:t>
      </w:r>
      <w:r w:rsidRPr="00D3481F">
        <w:t>obstruction et à l</w:t>
      </w:r>
      <w:r w:rsidR="00D3481F" w:rsidRPr="00D3481F">
        <w:t>’</w:t>
      </w:r>
      <w:r w:rsidRPr="00D3481F">
        <w:t>absence totale de coopération de la part de la mère de l</w:t>
      </w:r>
      <w:r w:rsidR="00D3481F" w:rsidRPr="00D3481F">
        <w:t>’</w:t>
      </w:r>
      <w:r w:rsidRPr="00D3481F">
        <w:t>enfant (qui a par ailleurs fait l</w:t>
      </w:r>
      <w:r w:rsidR="00D3481F" w:rsidRPr="00D3481F">
        <w:t>’</w:t>
      </w:r>
      <w:r w:rsidRPr="00D3481F">
        <w:t>objet d</w:t>
      </w:r>
      <w:r w:rsidR="00D3481F" w:rsidRPr="00D3481F">
        <w:t>’</w:t>
      </w:r>
      <w:r w:rsidRPr="00D3481F">
        <w:t>une condamnation pénale), les autorités n</w:t>
      </w:r>
      <w:r w:rsidR="00D3481F" w:rsidRPr="00D3481F">
        <w:t>’</w:t>
      </w:r>
      <w:r w:rsidRPr="00D3481F">
        <w:t>ont pris aucune mesure et les jugements prononcés en faveur du requérant sont restés ineffectifs.</w:t>
      </w:r>
    </w:p>
    <w:p w:rsidR="007F7726" w:rsidRPr="00D3481F" w:rsidRDefault="007F7726" w:rsidP="00D3481F">
      <w:pPr>
        <w:pStyle w:val="JuHa0"/>
      </w:pPr>
      <w:r w:rsidRPr="00D3481F">
        <w:t>Le Gouvernement</w:t>
      </w:r>
    </w:p>
    <w:p w:rsidR="007F7726" w:rsidRPr="00D3481F" w:rsidRDefault="007F7726" w:rsidP="00D3481F">
      <w:pPr>
        <w:pStyle w:val="JuPara"/>
      </w:pPr>
      <w:r w:rsidRPr="00D3481F">
        <w:fldChar w:fldCharType="begin"/>
      </w:r>
      <w:r w:rsidRPr="00D3481F">
        <w:instrText xml:space="preserve"> SEQ level0 \*arabic </w:instrText>
      </w:r>
      <w:r w:rsidRPr="00D3481F">
        <w:fldChar w:fldCharType="separate"/>
      </w:r>
      <w:r w:rsidR="00D3481F" w:rsidRPr="00D3481F">
        <w:rPr>
          <w:noProof/>
        </w:rPr>
        <w:t>61</w:t>
      </w:r>
      <w:r w:rsidRPr="00D3481F">
        <w:fldChar w:fldCharType="end"/>
      </w:r>
      <w:r w:rsidRPr="00D3481F">
        <w:t xml:space="preserve">.  Le Gouvernement </w:t>
      </w:r>
      <w:r w:rsidRPr="00D3481F">
        <w:rPr>
          <w:rFonts w:ascii="Times New Roman" w:hAnsi="Times New Roman" w:cs="Times New Roman"/>
          <w:color w:val="000000"/>
        </w:rPr>
        <w:t>considère qu</w:t>
      </w:r>
      <w:r w:rsidR="00D3481F" w:rsidRPr="00D3481F">
        <w:rPr>
          <w:rFonts w:ascii="Times New Roman" w:hAnsi="Times New Roman" w:cs="Times New Roman"/>
          <w:color w:val="000000"/>
        </w:rPr>
        <w:t>’</w:t>
      </w:r>
      <w:r w:rsidRPr="00D3481F">
        <w:rPr>
          <w:rFonts w:ascii="Times New Roman" w:hAnsi="Times New Roman" w:cs="Times New Roman"/>
          <w:color w:val="000000"/>
        </w:rPr>
        <w:t>il ne peut être reproché aux autorités italiennes de ne pas avoir pris les mesures nécessaires. Il affirme en effet que les services sociaux sont intervenus à plusieurs reprises pour faciliter les contacts entre le requérant et son fils</w:t>
      </w:r>
      <w:r w:rsidRPr="00D3481F">
        <w:t>. En particulier, le parquet et les services sociaux ont demandé au tribunal de prendre les mesures nécessaires et les autorités ont également interdit le déménagement de L.R. à Rome</w:t>
      </w:r>
      <w:r w:rsidRPr="00D3481F">
        <w:rPr>
          <w:rFonts w:ascii="Times New Roman" w:hAnsi="Times New Roman" w:cs="Times New Roman"/>
          <w:color w:val="000000"/>
        </w:rPr>
        <w:t>.</w:t>
      </w:r>
    </w:p>
    <w:p w:rsidR="007F7726" w:rsidRPr="00D3481F" w:rsidRDefault="007F7726" w:rsidP="00D3481F">
      <w:pPr>
        <w:pStyle w:val="JuPara"/>
        <w:rPr>
          <w:rFonts w:ascii="Times New Roman" w:hAnsi="Times New Roman" w:cs="Times New Roman"/>
          <w:color w:val="000000"/>
        </w:rPr>
      </w:pPr>
      <w:r w:rsidRPr="00D3481F">
        <w:rPr>
          <w:rFonts w:ascii="Times New Roman" w:hAnsi="Times New Roman" w:cs="Times New Roman"/>
          <w:color w:val="000000"/>
        </w:rPr>
        <w:fldChar w:fldCharType="begin"/>
      </w:r>
      <w:r w:rsidRPr="00D3481F">
        <w:rPr>
          <w:rFonts w:ascii="Times New Roman" w:hAnsi="Times New Roman" w:cs="Times New Roman"/>
          <w:color w:val="000000"/>
        </w:rPr>
        <w:instrText xml:space="preserve"> SEQ level0 \*arabic </w:instrText>
      </w:r>
      <w:r w:rsidRPr="00D3481F">
        <w:rPr>
          <w:rFonts w:ascii="Times New Roman" w:hAnsi="Times New Roman" w:cs="Times New Roman"/>
          <w:color w:val="000000"/>
        </w:rPr>
        <w:fldChar w:fldCharType="separate"/>
      </w:r>
      <w:r w:rsidR="00D3481F" w:rsidRPr="00D3481F">
        <w:rPr>
          <w:rFonts w:ascii="Times New Roman" w:hAnsi="Times New Roman" w:cs="Times New Roman"/>
          <w:noProof/>
          <w:color w:val="000000"/>
        </w:rPr>
        <w:t>62</w:t>
      </w:r>
      <w:r w:rsidRPr="00D3481F">
        <w:rPr>
          <w:rFonts w:ascii="Times New Roman" w:hAnsi="Times New Roman" w:cs="Times New Roman"/>
          <w:color w:val="000000"/>
        </w:rPr>
        <w:fldChar w:fldCharType="end"/>
      </w:r>
      <w:r w:rsidRPr="00D3481F">
        <w:rPr>
          <w:rFonts w:ascii="Times New Roman" w:hAnsi="Times New Roman" w:cs="Times New Roman"/>
          <w:color w:val="000000"/>
        </w:rPr>
        <w:t>.  Le Gouvernement argue en outre que les décisions internes ont été prises dans l</w:t>
      </w:r>
      <w:r w:rsidR="00D3481F" w:rsidRPr="00D3481F">
        <w:rPr>
          <w:rFonts w:ascii="Times New Roman" w:hAnsi="Times New Roman" w:cs="Times New Roman"/>
          <w:color w:val="000000"/>
        </w:rPr>
        <w:t>’</w:t>
      </w:r>
      <w:r w:rsidRPr="00D3481F">
        <w:rPr>
          <w:rFonts w:ascii="Times New Roman" w:hAnsi="Times New Roman" w:cs="Times New Roman"/>
          <w:color w:val="000000"/>
        </w:rPr>
        <w:t>intérêt de l</w:t>
      </w:r>
      <w:r w:rsidR="00D3481F" w:rsidRPr="00D3481F">
        <w:rPr>
          <w:rFonts w:ascii="Times New Roman" w:hAnsi="Times New Roman" w:cs="Times New Roman"/>
          <w:color w:val="000000"/>
        </w:rPr>
        <w:t>’</w:t>
      </w:r>
      <w:r w:rsidRPr="00D3481F">
        <w:rPr>
          <w:rFonts w:ascii="Times New Roman" w:hAnsi="Times New Roman" w:cs="Times New Roman"/>
          <w:color w:val="000000"/>
        </w:rPr>
        <w:t>enfant. Il estime que la cessation soudaine de la relation entre l</w:t>
      </w:r>
      <w:r w:rsidR="00D3481F" w:rsidRPr="00D3481F">
        <w:rPr>
          <w:rFonts w:ascii="Times New Roman" w:hAnsi="Times New Roman" w:cs="Times New Roman"/>
          <w:color w:val="000000"/>
        </w:rPr>
        <w:t>’</w:t>
      </w:r>
      <w:r w:rsidRPr="00D3481F">
        <w:rPr>
          <w:rFonts w:ascii="Times New Roman" w:hAnsi="Times New Roman" w:cs="Times New Roman"/>
          <w:color w:val="000000"/>
        </w:rPr>
        <w:t>enfant et la mère avec laquelle il vit constituerait pour un enfant de moins de cinq ans un traumatisme qui ne peut être infligé dans le seul but d</w:t>
      </w:r>
      <w:r w:rsidR="00D3481F" w:rsidRPr="00D3481F">
        <w:rPr>
          <w:rFonts w:ascii="Times New Roman" w:hAnsi="Times New Roman" w:cs="Times New Roman"/>
          <w:color w:val="000000"/>
        </w:rPr>
        <w:t>’</w:t>
      </w:r>
      <w:r w:rsidRPr="00D3481F">
        <w:rPr>
          <w:rFonts w:ascii="Times New Roman" w:hAnsi="Times New Roman" w:cs="Times New Roman"/>
          <w:color w:val="000000"/>
        </w:rPr>
        <w:t>assurer l</w:t>
      </w:r>
      <w:r w:rsidR="00D3481F" w:rsidRPr="00D3481F">
        <w:rPr>
          <w:rFonts w:ascii="Times New Roman" w:hAnsi="Times New Roman" w:cs="Times New Roman"/>
          <w:color w:val="000000"/>
        </w:rPr>
        <w:t>’</w:t>
      </w:r>
      <w:r w:rsidRPr="00D3481F">
        <w:rPr>
          <w:rFonts w:ascii="Times New Roman" w:hAnsi="Times New Roman" w:cs="Times New Roman"/>
          <w:color w:val="000000"/>
        </w:rPr>
        <w:t>effectivité des rencontres avec son père.</w:t>
      </w:r>
    </w:p>
    <w:p w:rsidR="007F7726" w:rsidRPr="00D3481F" w:rsidRDefault="007F7726" w:rsidP="00D3481F">
      <w:pPr>
        <w:pStyle w:val="JuPara"/>
        <w:rPr>
          <w:rFonts w:ascii="Times New Roman" w:hAnsi="Times New Roman" w:cs="Times New Roman"/>
          <w:color w:val="000000"/>
        </w:rPr>
      </w:pPr>
      <w:r w:rsidRPr="00D3481F">
        <w:fldChar w:fldCharType="begin"/>
      </w:r>
      <w:r w:rsidRPr="00D3481F">
        <w:instrText xml:space="preserve"> SEQ level0 \*arabic </w:instrText>
      </w:r>
      <w:r w:rsidRPr="00D3481F">
        <w:fldChar w:fldCharType="separate"/>
      </w:r>
      <w:r w:rsidR="00D3481F" w:rsidRPr="00D3481F">
        <w:rPr>
          <w:noProof/>
        </w:rPr>
        <w:t>63</w:t>
      </w:r>
      <w:r w:rsidRPr="00D3481F">
        <w:fldChar w:fldCharType="end"/>
      </w:r>
      <w:r w:rsidRPr="00D3481F">
        <w:t>.  Le Gouvernement soutient que le requérant n</w:t>
      </w:r>
      <w:r w:rsidR="00D3481F" w:rsidRPr="00D3481F">
        <w:t>’</w:t>
      </w:r>
      <w:r w:rsidRPr="00D3481F">
        <w:t>a pas prouvé qu</w:t>
      </w:r>
      <w:r w:rsidR="00D3481F" w:rsidRPr="00D3481F">
        <w:t>’</w:t>
      </w:r>
      <w:r w:rsidRPr="00D3481F">
        <w:t>il n</w:t>
      </w:r>
      <w:r w:rsidR="00D3481F" w:rsidRPr="00D3481F">
        <w:t>’</w:t>
      </w:r>
      <w:r w:rsidRPr="00D3481F">
        <w:t>a pas vu son fils depuis 2016.</w:t>
      </w:r>
    </w:p>
    <w:p w:rsidR="007F7726" w:rsidRPr="00D3481F" w:rsidRDefault="007F7726" w:rsidP="00D3481F">
      <w:pPr>
        <w:pStyle w:val="JuPara"/>
        <w:rPr>
          <w:rFonts w:ascii="Times New Roman" w:hAnsi="Times New Roman" w:cs="Times New Roman"/>
          <w:color w:val="000000"/>
        </w:rPr>
      </w:pPr>
      <w:r w:rsidRPr="00D3481F">
        <w:fldChar w:fldCharType="begin"/>
      </w:r>
      <w:r w:rsidRPr="00D3481F">
        <w:instrText xml:space="preserve"> SEQ level0 \*arabic </w:instrText>
      </w:r>
      <w:r w:rsidRPr="00D3481F">
        <w:fldChar w:fldCharType="separate"/>
      </w:r>
      <w:r w:rsidR="00D3481F" w:rsidRPr="00D3481F">
        <w:rPr>
          <w:noProof/>
        </w:rPr>
        <w:t>64</w:t>
      </w:r>
      <w:r w:rsidRPr="00D3481F">
        <w:fldChar w:fldCharType="end"/>
      </w:r>
      <w:r w:rsidRPr="00D3481F">
        <w:t>.  </w:t>
      </w:r>
      <w:r w:rsidRPr="00D3481F">
        <w:rPr>
          <w:rFonts w:ascii="Times New Roman" w:hAnsi="Times New Roman" w:cs="Times New Roman"/>
          <w:color w:val="000000"/>
        </w:rPr>
        <w:t>Le Gouvernement expose que, pour protéger l</w:t>
      </w:r>
      <w:r w:rsidR="00D3481F" w:rsidRPr="00D3481F">
        <w:rPr>
          <w:rFonts w:ascii="Times New Roman" w:hAnsi="Times New Roman" w:cs="Times New Roman"/>
          <w:color w:val="000000"/>
        </w:rPr>
        <w:t>’</w:t>
      </w:r>
      <w:r w:rsidRPr="00D3481F">
        <w:rPr>
          <w:rFonts w:ascii="Times New Roman" w:hAnsi="Times New Roman" w:cs="Times New Roman"/>
          <w:color w:val="000000"/>
        </w:rPr>
        <w:t>intérêt supérieur de l</w:t>
      </w:r>
      <w:r w:rsidR="00D3481F" w:rsidRPr="00D3481F">
        <w:rPr>
          <w:rFonts w:ascii="Times New Roman" w:hAnsi="Times New Roman" w:cs="Times New Roman"/>
          <w:color w:val="000000"/>
        </w:rPr>
        <w:t>’</w:t>
      </w:r>
      <w:r w:rsidRPr="00D3481F">
        <w:rPr>
          <w:rFonts w:ascii="Times New Roman" w:hAnsi="Times New Roman" w:cs="Times New Roman"/>
          <w:color w:val="000000"/>
        </w:rPr>
        <w:t>enfant, le 4 mai 2015, le tribunal de Venise a décidé d</w:t>
      </w:r>
      <w:r w:rsidR="00D3481F" w:rsidRPr="00D3481F">
        <w:rPr>
          <w:rFonts w:ascii="Times New Roman" w:hAnsi="Times New Roman" w:cs="Times New Roman"/>
          <w:color w:val="000000"/>
        </w:rPr>
        <w:t>’</w:t>
      </w:r>
      <w:r w:rsidRPr="00D3481F">
        <w:rPr>
          <w:rFonts w:ascii="Times New Roman" w:hAnsi="Times New Roman" w:cs="Times New Roman"/>
          <w:color w:val="000000"/>
        </w:rPr>
        <w:t>établir la résidence principale de l</w:t>
      </w:r>
      <w:r w:rsidR="00D3481F" w:rsidRPr="00D3481F">
        <w:rPr>
          <w:rFonts w:ascii="Times New Roman" w:hAnsi="Times New Roman" w:cs="Times New Roman"/>
          <w:color w:val="000000"/>
        </w:rPr>
        <w:t>’</w:t>
      </w:r>
      <w:r w:rsidRPr="00D3481F">
        <w:rPr>
          <w:rFonts w:ascii="Times New Roman" w:hAnsi="Times New Roman" w:cs="Times New Roman"/>
          <w:color w:val="000000"/>
        </w:rPr>
        <w:t>enfant chez L.R. en chargeant toutefois les services sociaux d</w:t>
      </w:r>
      <w:r w:rsidR="00D3481F" w:rsidRPr="00D3481F">
        <w:rPr>
          <w:rFonts w:ascii="Times New Roman" w:hAnsi="Times New Roman" w:cs="Times New Roman"/>
          <w:color w:val="000000"/>
        </w:rPr>
        <w:t>’</w:t>
      </w:r>
      <w:r w:rsidRPr="00D3481F">
        <w:rPr>
          <w:rFonts w:ascii="Times New Roman" w:hAnsi="Times New Roman" w:cs="Times New Roman"/>
          <w:color w:val="000000"/>
        </w:rPr>
        <w:t>une mission de soutien psychologique à l</w:t>
      </w:r>
      <w:r w:rsidR="00D3481F" w:rsidRPr="00D3481F">
        <w:rPr>
          <w:rFonts w:ascii="Times New Roman" w:hAnsi="Times New Roman" w:cs="Times New Roman"/>
          <w:color w:val="000000"/>
        </w:rPr>
        <w:t>’</w:t>
      </w:r>
      <w:r w:rsidRPr="00D3481F">
        <w:rPr>
          <w:rFonts w:ascii="Times New Roman" w:hAnsi="Times New Roman" w:cs="Times New Roman"/>
          <w:color w:val="000000"/>
        </w:rPr>
        <w:t>égard de l</w:t>
      </w:r>
      <w:r w:rsidR="00D3481F" w:rsidRPr="00D3481F">
        <w:rPr>
          <w:rFonts w:ascii="Times New Roman" w:hAnsi="Times New Roman" w:cs="Times New Roman"/>
          <w:color w:val="000000"/>
        </w:rPr>
        <w:t>’</w:t>
      </w:r>
      <w:r w:rsidRPr="00D3481F">
        <w:rPr>
          <w:rFonts w:ascii="Times New Roman" w:hAnsi="Times New Roman" w:cs="Times New Roman"/>
          <w:color w:val="000000"/>
        </w:rPr>
        <w:t>enfant et de L.R. Cette décision aurait été prise dans l</w:t>
      </w:r>
      <w:r w:rsidR="00D3481F" w:rsidRPr="00D3481F">
        <w:rPr>
          <w:rFonts w:ascii="Times New Roman" w:hAnsi="Times New Roman" w:cs="Times New Roman"/>
          <w:color w:val="000000"/>
        </w:rPr>
        <w:t>’</w:t>
      </w:r>
      <w:r w:rsidRPr="00D3481F">
        <w:rPr>
          <w:rFonts w:ascii="Times New Roman" w:hAnsi="Times New Roman" w:cs="Times New Roman"/>
          <w:color w:val="000000"/>
        </w:rPr>
        <w:t>intérêt de l</w:t>
      </w:r>
      <w:r w:rsidR="00D3481F" w:rsidRPr="00D3481F">
        <w:rPr>
          <w:rFonts w:ascii="Times New Roman" w:hAnsi="Times New Roman" w:cs="Times New Roman"/>
          <w:color w:val="000000"/>
        </w:rPr>
        <w:t>’</w:t>
      </w:r>
      <w:r w:rsidRPr="00D3481F">
        <w:rPr>
          <w:rFonts w:ascii="Times New Roman" w:hAnsi="Times New Roman" w:cs="Times New Roman"/>
          <w:color w:val="000000"/>
        </w:rPr>
        <w:t>enfant.</w:t>
      </w:r>
    </w:p>
    <w:p w:rsidR="007F7726" w:rsidRPr="00D3481F" w:rsidRDefault="007F7726" w:rsidP="00D3481F">
      <w:pPr>
        <w:pStyle w:val="JuPara"/>
        <w:rPr>
          <w:rFonts w:ascii="Times New Roman" w:hAnsi="Times New Roman" w:cs="Times New Roman"/>
          <w:color w:val="000000"/>
        </w:rPr>
      </w:pPr>
      <w:r w:rsidRPr="00D3481F">
        <w:rPr>
          <w:rFonts w:ascii="Times New Roman" w:hAnsi="Times New Roman" w:cs="Times New Roman"/>
          <w:color w:val="000000"/>
        </w:rPr>
        <w:fldChar w:fldCharType="begin"/>
      </w:r>
      <w:r w:rsidRPr="00D3481F">
        <w:rPr>
          <w:rFonts w:ascii="Times New Roman" w:hAnsi="Times New Roman" w:cs="Times New Roman"/>
          <w:color w:val="000000"/>
        </w:rPr>
        <w:instrText xml:space="preserve"> SEQ level0 \*arabic </w:instrText>
      </w:r>
      <w:r w:rsidRPr="00D3481F">
        <w:rPr>
          <w:rFonts w:ascii="Times New Roman" w:hAnsi="Times New Roman" w:cs="Times New Roman"/>
          <w:color w:val="000000"/>
        </w:rPr>
        <w:fldChar w:fldCharType="separate"/>
      </w:r>
      <w:r w:rsidR="00D3481F" w:rsidRPr="00D3481F">
        <w:rPr>
          <w:rFonts w:ascii="Times New Roman" w:hAnsi="Times New Roman" w:cs="Times New Roman"/>
          <w:noProof/>
          <w:color w:val="000000"/>
        </w:rPr>
        <w:t>65</w:t>
      </w:r>
      <w:r w:rsidRPr="00D3481F">
        <w:rPr>
          <w:rFonts w:ascii="Times New Roman" w:hAnsi="Times New Roman" w:cs="Times New Roman"/>
          <w:color w:val="000000"/>
        </w:rPr>
        <w:fldChar w:fldCharType="end"/>
      </w:r>
      <w:r w:rsidRPr="00D3481F">
        <w:rPr>
          <w:rFonts w:ascii="Times New Roman" w:hAnsi="Times New Roman" w:cs="Times New Roman"/>
          <w:color w:val="000000"/>
        </w:rPr>
        <w:t>.  Quant à la longueur de la procédure devant le tribunal pour enfants de Venise, le Gouvernement soutient qu</w:t>
      </w:r>
      <w:r w:rsidR="00D3481F" w:rsidRPr="00D3481F">
        <w:rPr>
          <w:rFonts w:ascii="Times New Roman" w:hAnsi="Times New Roman" w:cs="Times New Roman"/>
          <w:color w:val="000000"/>
        </w:rPr>
        <w:t>’</w:t>
      </w:r>
      <w:r w:rsidRPr="00D3481F">
        <w:rPr>
          <w:rFonts w:ascii="Times New Roman" w:hAnsi="Times New Roman" w:cs="Times New Roman"/>
          <w:color w:val="000000"/>
        </w:rPr>
        <w:t>elle était due à la complexité de l</w:t>
      </w:r>
      <w:r w:rsidR="00D3481F" w:rsidRPr="00D3481F">
        <w:rPr>
          <w:rFonts w:ascii="Times New Roman" w:hAnsi="Times New Roman" w:cs="Times New Roman"/>
          <w:color w:val="000000"/>
        </w:rPr>
        <w:t>’</w:t>
      </w:r>
      <w:r w:rsidRPr="00D3481F">
        <w:rPr>
          <w:rFonts w:ascii="Times New Roman" w:hAnsi="Times New Roman" w:cs="Times New Roman"/>
          <w:color w:val="000000"/>
        </w:rPr>
        <w:t>affaire.</w:t>
      </w:r>
    </w:p>
    <w:p w:rsidR="007F7726" w:rsidRPr="00D3481F" w:rsidRDefault="007F7726" w:rsidP="00D3481F">
      <w:pPr>
        <w:pStyle w:val="JuH1"/>
      </w:pPr>
      <w:bookmarkStart w:id="22" w:name="_Hlk36127770"/>
      <w:bookmarkEnd w:id="14"/>
      <w:r w:rsidRPr="00D3481F">
        <w:lastRenderedPageBreak/>
        <w:t>Appréciation de la Cour</w:t>
      </w:r>
    </w:p>
    <w:p w:rsidR="007F7726" w:rsidRPr="00D3481F" w:rsidRDefault="007F7726" w:rsidP="00D3481F">
      <w:pPr>
        <w:pStyle w:val="JuHa0"/>
        <w:rPr>
          <w:rFonts w:eastAsia="Times New Roman"/>
        </w:rPr>
      </w:pPr>
      <w:r w:rsidRPr="00D3481F">
        <w:rPr>
          <w:rFonts w:eastAsia="Times New Roman"/>
        </w:rPr>
        <w:t xml:space="preserve">Les principes </w:t>
      </w:r>
      <w:r w:rsidRPr="00D3481F">
        <w:t>généraux</w:t>
      </w:r>
    </w:p>
    <w:p w:rsidR="007F7726" w:rsidRPr="00D3481F" w:rsidRDefault="007F7726" w:rsidP="00D3481F">
      <w:pPr>
        <w:pStyle w:val="JuPara"/>
        <w:rPr>
          <w:rFonts w:eastAsia="Times New Roman"/>
        </w:rPr>
      </w:pPr>
      <w:r w:rsidRPr="00D3481F">
        <w:rPr>
          <w:rFonts w:eastAsia="Times New Roman"/>
        </w:rPr>
        <w:fldChar w:fldCharType="begin"/>
      </w:r>
      <w:r w:rsidRPr="00D3481F">
        <w:rPr>
          <w:rFonts w:eastAsia="Times New Roman"/>
        </w:rPr>
        <w:instrText xml:space="preserve"> SEQ level0 \*arabic </w:instrText>
      </w:r>
      <w:r w:rsidRPr="00D3481F">
        <w:rPr>
          <w:rFonts w:eastAsia="Times New Roman"/>
        </w:rPr>
        <w:fldChar w:fldCharType="separate"/>
      </w:r>
      <w:r w:rsidR="00D3481F" w:rsidRPr="00D3481F">
        <w:rPr>
          <w:rFonts w:eastAsia="Times New Roman"/>
          <w:noProof/>
        </w:rPr>
        <w:t>66</w:t>
      </w:r>
      <w:r w:rsidRPr="00D3481F">
        <w:rPr>
          <w:rFonts w:eastAsia="Times New Roman"/>
        </w:rPr>
        <w:fldChar w:fldCharType="end"/>
      </w:r>
      <w:r w:rsidRPr="00D3481F">
        <w:rPr>
          <w:rFonts w:eastAsia="Times New Roman"/>
        </w:rPr>
        <w:t>.  Comme la Cour l</w:t>
      </w:r>
      <w:r w:rsidR="00D3481F" w:rsidRPr="00D3481F">
        <w:rPr>
          <w:rFonts w:eastAsia="Times New Roman"/>
        </w:rPr>
        <w:t>’</w:t>
      </w:r>
      <w:r w:rsidRPr="00D3481F">
        <w:rPr>
          <w:rFonts w:eastAsia="Times New Roman"/>
        </w:rPr>
        <w:t>a rappelé à maintes reprises, si l</w:t>
      </w:r>
      <w:r w:rsidR="00D3481F" w:rsidRPr="00D3481F">
        <w:rPr>
          <w:rFonts w:eastAsia="Times New Roman"/>
        </w:rPr>
        <w:t>’</w:t>
      </w:r>
      <w:r w:rsidRPr="00D3481F">
        <w:rPr>
          <w:rFonts w:eastAsia="Times New Roman"/>
        </w:rPr>
        <w:t>article 8 de la Convention a essentiellement pour objet de prémunir l</w:t>
      </w:r>
      <w:r w:rsidR="00D3481F" w:rsidRPr="00D3481F">
        <w:rPr>
          <w:rFonts w:eastAsia="Times New Roman"/>
        </w:rPr>
        <w:t>’</w:t>
      </w:r>
      <w:r w:rsidRPr="00D3481F">
        <w:rPr>
          <w:rFonts w:eastAsia="Times New Roman"/>
        </w:rPr>
        <w:t>individu contre les ingérences arbitraires des pouvoirs publics, il ne se contente pas de commander à l</w:t>
      </w:r>
      <w:r w:rsidR="00D3481F" w:rsidRPr="00D3481F">
        <w:rPr>
          <w:rFonts w:eastAsia="Times New Roman"/>
        </w:rPr>
        <w:t>’</w:t>
      </w:r>
      <w:r w:rsidRPr="00D3481F">
        <w:rPr>
          <w:rFonts w:eastAsia="Times New Roman"/>
        </w:rPr>
        <w:t>État de s</w:t>
      </w:r>
      <w:r w:rsidR="00D3481F" w:rsidRPr="00D3481F">
        <w:rPr>
          <w:rFonts w:eastAsia="Times New Roman"/>
        </w:rPr>
        <w:t>’</w:t>
      </w:r>
      <w:r w:rsidRPr="00D3481F">
        <w:rPr>
          <w:rFonts w:eastAsia="Times New Roman"/>
        </w:rPr>
        <w:t>abstenir de pareilles ingérences : à cet engagement plutôt négatif peuvent s</w:t>
      </w:r>
      <w:r w:rsidR="00D3481F" w:rsidRPr="00D3481F">
        <w:rPr>
          <w:rFonts w:eastAsia="Times New Roman"/>
        </w:rPr>
        <w:t>’</w:t>
      </w:r>
      <w:r w:rsidRPr="00D3481F">
        <w:rPr>
          <w:rFonts w:eastAsia="Times New Roman"/>
        </w:rPr>
        <w:t>ajouter des obligations positives inhérentes à un respect effectif de la vie privée ou familiale. Celles-ci peuvent impliquer l</w:t>
      </w:r>
      <w:r w:rsidR="00D3481F" w:rsidRPr="00D3481F">
        <w:rPr>
          <w:rFonts w:eastAsia="Times New Roman"/>
        </w:rPr>
        <w:t>’</w:t>
      </w:r>
      <w:r w:rsidRPr="00D3481F">
        <w:rPr>
          <w:rFonts w:eastAsia="Times New Roman"/>
        </w:rPr>
        <w:t>adoption de mesures visant au respect de la vie familiale jusque dans les relations des individus entre eux, dont la mise en place d</w:t>
      </w:r>
      <w:r w:rsidR="00D3481F" w:rsidRPr="00D3481F">
        <w:rPr>
          <w:rFonts w:eastAsia="Times New Roman"/>
        </w:rPr>
        <w:t>’</w:t>
      </w:r>
      <w:r w:rsidRPr="00D3481F">
        <w:rPr>
          <w:rFonts w:eastAsia="Times New Roman"/>
        </w:rPr>
        <w:t xml:space="preserve">un arsenal juridique adéquat et suffisant pour garantir les droits légitimes des intéressés et assurer le respect des décisions judiciaires, ou des mesures spécifiques appropriées (voir, </w:t>
      </w:r>
      <w:r w:rsidRPr="00D3481F">
        <w:rPr>
          <w:rFonts w:eastAsia="Times New Roman"/>
          <w:i/>
        </w:rPr>
        <w:t>mutatis mutandis</w:t>
      </w:r>
      <w:r w:rsidRPr="00D3481F">
        <w:rPr>
          <w:rFonts w:eastAsia="Times New Roman"/>
        </w:rPr>
        <w:t xml:space="preserve">, </w:t>
      </w:r>
      <w:r w:rsidRPr="00D3481F">
        <w:rPr>
          <w:rFonts w:eastAsia="Times New Roman"/>
          <w:i/>
        </w:rPr>
        <w:t>Zawadka c. Pologne</w:t>
      </w:r>
      <w:r w:rsidRPr="00D3481F">
        <w:rPr>
          <w:rFonts w:eastAsia="Times New Roman"/>
        </w:rPr>
        <w:t>, n</w:t>
      </w:r>
      <w:r w:rsidRPr="00D3481F">
        <w:rPr>
          <w:rFonts w:eastAsia="Times New Roman"/>
          <w:vertAlign w:val="superscript"/>
        </w:rPr>
        <w:t>o</w:t>
      </w:r>
      <w:r w:rsidRPr="00D3481F">
        <w:rPr>
          <w:rFonts w:eastAsia="Times New Roman"/>
        </w:rPr>
        <w:t> </w:t>
      </w:r>
      <w:hyperlink r:id="rId24" w:anchor="%7B%22appno%22:%5B%2248542/99%22%5D%7D" w:tgtFrame="_blank" w:history="1">
        <w:r w:rsidRPr="00D3481F">
          <w:rPr>
            <w:rFonts w:eastAsia="Times New Roman"/>
          </w:rPr>
          <w:t>48542/99</w:t>
        </w:r>
      </w:hyperlink>
      <w:r w:rsidRPr="00D3481F">
        <w:rPr>
          <w:rFonts w:eastAsia="Times New Roman"/>
        </w:rPr>
        <w:t>, § 53, 23 juin 2005). Cet arsenal doit permettre à l</w:t>
      </w:r>
      <w:r w:rsidR="00D3481F" w:rsidRPr="00D3481F">
        <w:rPr>
          <w:rFonts w:eastAsia="Times New Roman"/>
        </w:rPr>
        <w:t>’</w:t>
      </w:r>
      <w:r w:rsidRPr="00D3481F">
        <w:rPr>
          <w:rFonts w:eastAsia="Times New Roman"/>
        </w:rPr>
        <w:t>État d</w:t>
      </w:r>
      <w:r w:rsidR="00D3481F" w:rsidRPr="00D3481F">
        <w:rPr>
          <w:rFonts w:eastAsia="Times New Roman"/>
        </w:rPr>
        <w:t>’</w:t>
      </w:r>
      <w:r w:rsidRPr="00D3481F">
        <w:rPr>
          <w:rFonts w:eastAsia="Times New Roman"/>
        </w:rPr>
        <w:t xml:space="preserve">adopter des mesures propres à réunir le parent et son enfant, y compris en cas de conflit opposant les deux parents (voir, </w:t>
      </w:r>
      <w:r w:rsidRPr="00D3481F">
        <w:rPr>
          <w:rFonts w:eastAsia="Times New Roman"/>
          <w:i/>
        </w:rPr>
        <w:t>mutatis mutandis</w:t>
      </w:r>
      <w:r w:rsidRPr="00D3481F">
        <w:rPr>
          <w:rFonts w:eastAsia="Times New Roman"/>
        </w:rPr>
        <w:t xml:space="preserve">, </w:t>
      </w:r>
      <w:r w:rsidRPr="00D3481F">
        <w:rPr>
          <w:rFonts w:eastAsia="Times New Roman"/>
          <w:i/>
        </w:rPr>
        <w:t>Ignaccolo-Zenide c. Roumanie</w:t>
      </w:r>
      <w:r w:rsidRPr="00D3481F">
        <w:rPr>
          <w:rFonts w:eastAsia="Times New Roman"/>
        </w:rPr>
        <w:t>, n</w:t>
      </w:r>
      <w:r w:rsidRPr="00D3481F">
        <w:rPr>
          <w:rFonts w:eastAsia="Times New Roman"/>
          <w:vertAlign w:val="superscript"/>
        </w:rPr>
        <w:t>o</w:t>
      </w:r>
      <w:r w:rsidRPr="00D3481F">
        <w:rPr>
          <w:rFonts w:eastAsia="Times New Roman"/>
        </w:rPr>
        <w:t> </w:t>
      </w:r>
      <w:hyperlink r:id="rId25" w:anchor="%7B%22appno%22:%5B%2231679/96%22%5D%7D" w:tgtFrame="_blank" w:history="1">
        <w:r w:rsidRPr="00D3481F">
          <w:rPr>
            <w:rFonts w:eastAsia="Times New Roman"/>
          </w:rPr>
          <w:t>31679/96</w:t>
        </w:r>
      </w:hyperlink>
      <w:r w:rsidRPr="00D3481F">
        <w:rPr>
          <w:rFonts w:eastAsia="Times New Roman"/>
        </w:rPr>
        <w:t>, § 108, CEDH 2000</w:t>
      </w:r>
      <w:r w:rsidRPr="00D3481F">
        <w:rPr>
          <w:rFonts w:eastAsia="Times New Roman"/>
        </w:rPr>
        <w:noBreakHyphen/>
        <w:t xml:space="preserve">I, </w:t>
      </w:r>
      <w:r w:rsidRPr="00D3481F">
        <w:rPr>
          <w:rFonts w:eastAsia="Times New Roman"/>
          <w:i/>
        </w:rPr>
        <w:t>Sylvester c. Autriche</w:t>
      </w:r>
      <w:r w:rsidRPr="00D3481F">
        <w:rPr>
          <w:rFonts w:eastAsia="Times New Roman"/>
        </w:rPr>
        <w:t>, n</w:t>
      </w:r>
      <w:r w:rsidRPr="00D3481F">
        <w:rPr>
          <w:rFonts w:eastAsia="Times New Roman"/>
          <w:vertAlign w:val="superscript"/>
        </w:rPr>
        <w:t>os</w:t>
      </w:r>
      <w:r w:rsidRPr="00D3481F">
        <w:rPr>
          <w:rFonts w:eastAsia="Times New Roman"/>
        </w:rPr>
        <w:t> </w:t>
      </w:r>
      <w:hyperlink r:id="rId26" w:anchor="%7B%22appno%22:%5B%2236812/97%22%5D%7D" w:tgtFrame="_blank" w:history="1">
        <w:r w:rsidRPr="00D3481F">
          <w:rPr>
            <w:rFonts w:eastAsia="Times New Roman"/>
          </w:rPr>
          <w:t>36812/97</w:t>
        </w:r>
      </w:hyperlink>
      <w:r w:rsidRPr="00D3481F">
        <w:rPr>
          <w:rFonts w:eastAsia="Times New Roman"/>
        </w:rPr>
        <w:t xml:space="preserve"> et </w:t>
      </w:r>
      <w:hyperlink r:id="rId27" w:anchor="%7B%22appno%22:%5B%2240104/98%22%5D%7D" w:tgtFrame="_blank" w:history="1">
        <w:r w:rsidRPr="00D3481F">
          <w:rPr>
            <w:rFonts w:eastAsia="Times New Roman"/>
          </w:rPr>
          <w:t>40104/98</w:t>
        </w:r>
      </w:hyperlink>
      <w:r w:rsidRPr="00D3481F">
        <w:rPr>
          <w:rFonts w:eastAsia="Times New Roman"/>
        </w:rPr>
        <w:t xml:space="preserve">, § 68, 24 avril 2003, </w:t>
      </w:r>
      <w:r w:rsidRPr="00D3481F">
        <w:rPr>
          <w:rFonts w:eastAsia="Times New Roman"/>
          <w:i/>
        </w:rPr>
        <w:t>Zavřel c. République tchèque</w:t>
      </w:r>
      <w:r w:rsidRPr="00D3481F">
        <w:rPr>
          <w:rFonts w:eastAsia="Times New Roman"/>
        </w:rPr>
        <w:t>, n</w:t>
      </w:r>
      <w:r w:rsidRPr="00D3481F">
        <w:rPr>
          <w:rFonts w:eastAsia="Times New Roman"/>
          <w:vertAlign w:val="superscript"/>
        </w:rPr>
        <w:t>o</w:t>
      </w:r>
      <w:r w:rsidRPr="00D3481F">
        <w:rPr>
          <w:rFonts w:eastAsia="Times New Roman"/>
        </w:rPr>
        <w:t> </w:t>
      </w:r>
      <w:hyperlink r:id="rId28" w:anchor="%7B%22appno%22:%5B%2214044/05%22%5D%7D" w:tgtFrame="_blank" w:history="1">
        <w:r w:rsidRPr="00D3481F">
          <w:rPr>
            <w:rFonts w:eastAsia="Times New Roman"/>
          </w:rPr>
          <w:t>14044/05</w:t>
        </w:r>
      </w:hyperlink>
      <w:r w:rsidRPr="00D3481F">
        <w:rPr>
          <w:rFonts w:eastAsia="Times New Roman"/>
        </w:rPr>
        <w:t xml:space="preserve">, § 47, 18 janvier 2007, et </w:t>
      </w:r>
      <w:r w:rsidRPr="00D3481F">
        <w:rPr>
          <w:rFonts w:eastAsia="Times New Roman"/>
          <w:i/>
        </w:rPr>
        <w:t>Mihailova c. Bulgarie</w:t>
      </w:r>
      <w:r w:rsidRPr="00D3481F">
        <w:rPr>
          <w:rFonts w:eastAsia="Times New Roman"/>
        </w:rPr>
        <w:t>, n</w:t>
      </w:r>
      <w:r w:rsidRPr="00D3481F">
        <w:rPr>
          <w:rFonts w:eastAsia="Times New Roman"/>
          <w:vertAlign w:val="superscript"/>
        </w:rPr>
        <w:t>o</w:t>
      </w:r>
      <w:r w:rsidRPr="00D3481F">
        <w:rPr>
          <w:rFonts w:eastAsia="Times New Roman"/>
        </w:rPr>
        <w:t> </w:t>
      </w:r>
      <w:hyperlink r:id="rId29" w:anchor="%7B%22appno%22:%5B%2235978/02%22%5D%7D" w:tgtFrame="_blank" w:history="1">
        <w:r w:rsidRPr="00D3481F">
          <w:rPr>
            <w:rFonts w:eastAsia="Times New Roman"/>
          </w:rPr>
          <w:t>35978/02</w:t>
        </w:r>
      </w:hyperlink>
      <w:r w:rsidRPr="00D3481F">
        <w:rPr>
          <w:rFonts w:eastAsia="Times New Roman"/>
        </w:rPr>
        <w:t>, § 80, 12 janvier 2006). La Cour rappelle aussi que les obligations positives ne se limitent pas à veiller à ce que l</w:t>
      </w:r>
      <w:r w:rsidR="00D3481F" w:rsidRPr="00D3481F">
        <w:rPr>
          <w:rFonts w:eastAsia="Times New Roman"/>
        </w:rPr>
        <w:t>’</w:t>
      </w:r>
      <w:r w:rsidRPr="00D3481F">
        <w:rPr>
          <w:rFonts w:eastAsia="Times New Roman"/>
        </w:rPr>
        <w:t>enfant puisse rejoindre son parent ou avoir un contact avec lui, mais qu</w:t>
      </w:r>
      <w:r w:rsidR="00D3481F" w:rsidRPr="00D3481F">
        <w:rPr>
          <w:rFonts w:eastAsia="Times New Roman"/>
        </w:rPr>
        <w:t>’</w:t>
      </w:r>
      <w:r w:rsidRPr="00D3481F">
        <w:rPr>
          <w:rFonts w:eastAsia="Times New Roman"/>
        </w:rPr>
        <w:t>elles englobent également l</w:t>
      </w:r>
      <w:r w:rsidR="00D3481F" w:rsidRPr="00D3481F">
        <w:rPr>
          <w:rFonts w:eastAsia="Times New Roman"/>
        </w:rPr>
        <w:t>’</w:t>
      </w:r>
      <w:r w:rsidRPr="00D3481F">
        <w:rPr>
          <w:rFonts w:eastAsia="Times New Roman"/>
        </w:rPr>
        <w:t xml:space="preserve">ensemble des mesures préparatoires permettant de parvenir à ce résultat (voir, </w:t>
      </w:r>
      <w:r w:rsidRPr="00D3481F">
        <w:rPr>
          <w:rFonts w:eastAsia="Times New Roman"/>
          <w:i/>
        </w:rPr>
        <w:t>mutatis mutandis</w:t>
      </w:r>
      <w:r w:rsidRPr="00D3481F">
        <w:rPr>
          <w:rFonts w:eastAsia="Times New Roman"/>
        </w:rPr>
        <w:t xml:space="preserve">, </w:t>
      </w:r>
      <w:r w:rsidRPr="00D3481F">
        <w:rPr>
          <w:rFonts w:eastAsia="Times New Roman"/>
          <w:i/>
        </w:rPr>
        <w:t>Kosmopoulou c. Grèce</w:t>
      </w:r>
      <w:r w:rsidRPr="00D3481F">
        <w:rPr>
          <w:rFonts w:eastAsia="Times New Roman"/>
        </w:rPr>
        <w:t>, n</w:t>
      </w:r>
      <w:r w:rsidRPr="00D3481F">
        <w:rPr>
          <w:rFonts w:eastAsia="Times New Roman"/>
          <w:vertAlign w:val="superscript"/>
        </w:rPr>
        <w:t>o</w:t>
      </w:r>
      <w:r w:rsidRPr="00D3481F">
        <w:rPr>
          <w:rFonts w:eastAsia="Times New Roman"/>
        </w:rPr>
        <w:t> </w:t>
      </w:r>
      <w:hyperlink r:id="rId30" w:anchor="%7B%22appno%22:%5B%2260457/00%22%5D%7D" w:tgtFrame="_blank" w:history="1">
        <w:r w:rsidRPr="00D3481F">
          <w:rPr>
            <w:rFonts w:eastAsia="Times New Roman"/>
          </w:rPr>
          <w:t>60457/00</w:t>
        </w:r>
      </w:hyperlink>
      <w:r w:rsidRPr="00D3481F">
        <w:rPr>
          <w:rFonts w:eastAsia="Times New Roman"/>
        </w:rPr>
        <w:t xml:space="preserve">, § 45, 5 février 2004, </w:t>
      </w:r>
      <w:r w:rsidRPr="00D3481F">
        <w:rPr>
          <w:rFonts w:eastAsia="Times New Roman"/>
          <w:i/>
        </w:rPr>
        <w:t>Amanalachioai c. Roumanie</w:t>
      </w:r>
      <w:r w:rsidRPr="00D3481F">
        <w:rPr>
          <w:rFonts w:eastAsia="Times New Roman"/>
        </w:rPr>
        <w:t>, n</w:t>
      </w:r>
      <w:r w:rsidRPr="00D3481F">
        <w:rPr>
          <w:rFonts w:eastAsia="Times New Roman"/>
          <w:vertAlign w:val="superscript"/>
        </w:rPr>
        <w:t>o</w:t>
      </w:r>
      <w:r w:rsidRPr="00D3481F">
        <w:rPr>
          <w:rFonts w:eastAsia="Times New Roman"/>
        </w:rPr>
        <w:t> </w:t>
      </w:r>
      <w:hyperlink r:id="rId31" w:anchor="%7B%22appno%22:%5B%224023/04%22%5D%7D" w:tgtFrame="_blank" w:history="1">
        <w:r w:rsidRPr="00D3481F">
          <w:rPr>
            <w:rFonts w:eastAsia="Times New Roman"/>
          </w:rPr>
          <w:t>4023/04</w:t>
        </w:r>
      </w:hyperlink>
      <w:r w:rsidRPr="00D3481F">
        <w:rPr>
          <w:rFonts w:eastAsia="Times New Roman"/>
        </w:rPr>
        <w:t xml:space="preserve">, § 95, 26 mai 2009, </w:t>
      </w:r>
      <w:r w:rsidRPr="00D3481F">
        <w:rPr>
          <w:rFonts w:eastAsia="Times New Roman"/>
          <w:i/>
        </w:rPr>
        <w:t>Ignaccolo-Zenide</w:t>
      </w:r>
      <w:r w:rsidRPr="00D3481F">
        <w:rPr>
          <w:rFonts w:eastAsia="Times New Roman"/>
        </w:rPr>
        <w:t xml:space="preserve">, §§ 105 et 112, et </w:t>
      </w:r>
      <w:r w:rsidRPr="00D3481F">
        <w:rPr>
          <w:rFonts w:eastAsia="Times New Roman"/>
          <w:i/>
        </w:rPr>
        <w:t>Sylvester</w:t>
      </w:r>
      <w:r w:rsidRPr="00D3481F">
        <w:rPr>
          <w:rFonts w:eastAsia="Times New Roman"/>
        </w:rPr>
        <w:t>, § 70, tous deux précités).</w:t>
      </w:r>
    </w:p>
    <w:p w:rsidR="007F7726" w:rsidRPr="00D3481F" w:rsidRDefault="007F7726" w:rsidP="00D3481F">
      <w:pPr>
        <w:pStyle w:val="JuPara"/>
        <w:rPr>
          <w:rFonts w:eastAsia="Times New Roman"/>
        </w:rPr>
      </w:pPr>
      <w:r w:rsidRPr="00D3481F">
        <w:rPr>
          <w:rFonts w:eastAsia="Times New Roman"/>
        </w:rPr>
        <w:fldChar w:fldCharType="begin"/>
      </w:r>
      <w:r w:rsidRPr="00D3481F">
        <w:rPr>
          <w:rFonts w:eastAsia="Times New Roman"/>
        </w:rPr>
        <w:instrText xml:space="preserve"> SEQ level0 \*arabic </w:instrText>
      </w:r>
      <w:r w:rsidRPr="00D3481F">
        <w:rPr>
          <w:rFonts w:eastAsia="Times New Roman"/>
        </w:rPr>
        <w:fldChar w:fldCharType="separate"/>
      </w:r>
      <w:r w:rsidR="00D3481F" w:rsidRPr="00D3481F">
        <w:rPr>
          <w:rFonts w:eastAsia="Times New Roman"/>
          <w:noProof/>
        </w:rPr>
        <w:t>67</w:t>
      </w:r>
      <w:r w:rsidRPr="00D3481F">
        <w:rPr>
          <w:rFonts w:eastAsia="Times New Roman"/>
        </w:rPr>
        <w:fldChar w:fldCharType="end"/>
      </w:r>
      <w:r w:rsidRPr="00D3481F">
        <w:rPr>
          <w:rFonts w:eastAsia="Times New Roman"/>
        </w:rPr>
        <w:t>.  La Cour rappelle également que le fait que les efforts des autorités ont été vains ne mène pas automatiquement à la conclusion que l</w:t>
      </w:r>
      <w:r w:rsidR="00D3481F" w:rsidRPr="00D3481F">
        <w:rPr>
          <w:rFonts w:eastAsia="Times New Roman"/>
        </w:rPr>
        <w:t>’</w:t>
      </w:r>
      <w:r w:rsidRPr="00D3481F">
        <w:rPr>
          <w:rFonts w:eastAsia="Times New Roman"/>
        </w:rPr>
        <w:t>État a manqué aux obligations positives qui découlent pour lui de l</w:t>
      </w:r>
      <w:r w:rsidR="00D3481F" w:rsidRPr="00D3481F">
        <w:rPr>
          <w:rFonts w:eastAsia="Times New Roman"/>
        </w:rPr>
        <w:t>’</w:t>
      </w:r>
      <w:r w:rsidRPr="00D3481F">
        <w:rPr>
          <w:rFonts w:eastAsia="Times New Roman"/>
        </w:rPr>
        <w:t>article 8 de la Convention (</w:t>
      </w:r>
      <w:r w:rsidRPr="00D3481F">
        <w:rPr>
          <w:i/>
        </w:rPr>
        <w:t>Nicolò Santilli</w:t>
      </w:r>
      <w:r w:rsidRPr="00D3481F">
        <w:t>,</w:t>
      </w:r>
      <w:r w:rsidRPr="00D3481F">
        <w:rPr>
          <w:i/>
        </w:rPr>
        <w:t xml:space="preserve"> </w:t>
      </w:r>
      <w:r w:rsidRPr="00D3481F">
        <w:t>précité</w:t>
      </w:r>
      <w:r w:rsidRPr="00D3481F">
        <w:rPr>
          <w:snapToGrid w:val="0"/>
        </w:rPr>
        <w:t>, § 67</w:t>
      </w:r>
      <w:r w:rsidRPr="00D3481F">
        <w:rPr>
          <w:rFonts w:eastAsia="Times New Roman"/>
          <w:iCs/>
        </w:rPr>
        <w:t>).</w:t>
      </w:r>
      <w:r w:rsidRPr="00D3481F">
        <w:rPr>
          <w:rFonts w:eastAsia="Times New Roman"/>
          <w:i/>
          <w:iCs/>
        </w:rPr>
        <w:t xml:space="preserve"> </w:t>
      </w:r>
      <w:r w:rsidRPr="00D3481F">
        <w:rPr>
          <w:rFonts w:eastAsia="Times New Roman"/>
        </w:rPr>
        <w:t>En effet, l</w:t>
      </w:r>
      <w:r w:rsidR="00D3481F" w:rsidRPr="00D3481F">
        <w:rPr>
          <w:rFonts w:eastAsia="Times New Roman"/>
        </w:rPr>
        <w:t>’</w:t>
      </w:r>
      <w:r w:rsidRPr="00D3481F">
        <w:rPr>
          <w:rFonts w:eastAsia="Times New Roman"/>
        </w:rPr>
        <w:t>obligation pour les autorités nationales de prendre des mesures afin de réunir l</w:t>
      </w:r>
      <w:r w:rsidR="00D3481F" w:rsidRPr="00D3481F">
        <w:rPr>
          <w:rFonts w:eastAsia="Times New Roman"/>
        </w:rPr>
        <w:t>’</w:t>
      </w:r>
      <w:r w:rsidRPr="00D3481F">
        <w:rPr>
          <w:rFonts w:eastAsia="Times New Roman"/>
        </w:rPr>
        <w:t>enfant et le parent avec lequel il ne vit pas n</w:t>
      </w:r>
      <w:r w:rsidR="00D3481F" w:rsidRPr="00D3481F">
        <w:rPr>
          <w:rFonts w:eastAsia="Times New Roman"/>
        </w:rPr>
        <w:t>’</w:t>
      </w:r>
      <w:r w:rsidRPr="00D3481F">
        <w:rPr>
          <w:rFonts w:eastAsia="Times New Roman"/>
        </w:rPr>
        <w:t>est pas absolue, et la compréhension et la coopération de l</w:t>
      </w:r>
      <w:r w:rsidR="00D3481F" w:rsidRPr="00D3481F">
        <w:rPr>
          <w:rFonts w:eastAsia="Times New Roman"/>
        </w:rPr>
        <w:t>’</w:t>
      </w:r>
      <w:r w:rsidRPr="00D3481F">
        <w:rPr>
          <w:rFonts w:eastAsia="Times New Roman"/>
        </w:rPr>
        <w:t>ensemble des personnes concernées constituent toujours un facteur important. Si les autorités nationales doivent s</w:t>
      </w:r>
      <w:r w:rsidR="00D3481F" w:rsidRPr="00D3481F">
        <w:rPr>
          <w:rFonts w:eastAsia="Times New Roman"/>
        </w:rPr>
        <w:t>’</w:t>
      </w:r>
      <w:r w:rsidRPr="00D3481F">
        <w:rPr>
          <w:rFonts w:eastAsia="Times New Roman"/>
        </w:rPr>
        <w:t>efforcer de faciliter pareille collaboration, une obligation pour elles de recourir à la coercition en la matière ne saurait être que limitée : il leur faut tenir compte des intérêts et des droits et libertés de ces mêmes personnes, et notamment des intérêts supérieurs de l</w:t>
      </w:r>
      <w:r w:rsidR="00D3481F" w:rsidRPr="00D3481F">
        <w:rPr>
          <w:rFonts w:eastAsia="Times New Roman"/>
        </w:rPr>
        <w:t>’</w:t>
      </w:r>
      <w:r w:rsidRPr="00D3481F">
        <w:rPr>
          <w:rFonts w:eastAsia="Times New Roman"/>
        </w:rPr>
        <w:t>enfant et des droits que l</w:t>
      </w:r>
      <w:r w:rsidR="00D3481F" w:rsidRPr="00D3481F">
        <w:rPr>
          <w:rFonts w:eastAsia="Times New Roman"/>
        </w:rPr>
        <w:t>’</w:t>
      </w:r>
      <w:r w:rsidRPr="00D3481F">
        <w:rPr>
          <w:rFonts w:eastAsia="Times New Roman"/>
        </w:rPr>
        <w:t>article 8 de la Convention confère à celui-ci (</w:t>
      </w:r>
      <w:r w:rsidRPr="00D3481F">
        <w:rPr>
          <w:rFonts w:eastAsia="Times New Roman"/>
          <w:i/>
        </w:rPr>
        <w:t>Voleský c. République tchèque</w:t>
      </w:r>
      <w:r w:rsidRPr="00D3481F">
        <w:rPr>
          <w:rFonts w:eastAsia="Times New Roman"/>
        </w:rPr>
        <w:t>, n</w:t>
      </w:r>
      <w:r w:rsidRPr="00D3481F">
        <w:rPr>
          <w:rFonts w:eastAsia="Times New Roman"/>
          <w:vertAlign w:val="superscript"/>
        </w:rPr>
        <w:t>o</w:t>
      </w:r>
      <w:r w:rsidRPr="00D3481F">
        <w:rPr>
          <w:rFonts w:eastAsia="Times New Roman"/>
        </w:rPr>
        <w:t> 63267/00, § 118, 29 juin 2004).</w:t>
      </w:r>
    </w:p>
    <w:bookmarkStart w:id="23" w:name="lt_pId1612"/>
    <w:p w:rsidR="007F7726" w:rsidRPr="00D3481F" w:rsidRDefault="007F7726" w:rsidP="00D3481F">
      <w:pPr>
        <w:pStyle w:val="JuPara"/>
        <w:rPr>
          <w:i/>
        </w:rPr>
      </w:pPr>
      <w:r w:rsidRPr="00D3481F">
        <w:fldChar w:fldCharType="begin"/>
      </w:r>
      <w:r w:rsidRPr="00D3481F">
        <w:instrText xml:space="preserve"> SEQ level0 \*arabic </w:instrText>
      </w:r>
      <w:r w:rsidRPr="00D3481F">
        <w:fldChar w:fldCharType="separate"/>
      </w:r>
      <w:r w:rsidR="00D3481F" w:rsidRPr="00D3481F">
        <w:rPr>
          <w:noProof/>
        </w:rPr>
        <w:t>68</w:t>
      </w:r>
      <w:r w:rsidRPr="00D3481F">
        <w:fldChar w:fldCharType="end"/>
      </w:r>
      <w:r w:rsidRPr="00D3481F">
        <w:t>.  En ce qui concerne la vie familiale d</w:t>
      </w:r>
      <w:r w:rsidR="00D3481F" w:rsidRPr="00D3481F">
        <w:t>’</w:t>
      </w:r>
      <w:r w:rsidRPr="00D3481F">
        <w:t>un enfant, la Cour rappelle qu</w:t>
      </w:r>
      <w:r w:rsidR="00D3481F" w:rsidRPr="00D3481F">
        <w:t>’</w:t>
      </w:r>
      <w:r w:rsidRPr="00D3481F">
        <w:t>il existe actuellement un large consensus – y compris en droit international – autour de l</w:t>
      </w:r>
      <w:r w:rsidR="00D3481F" w:rsidRPr="00D3481F">
        <w:t>’</w:t>
      </w:r>
      <w:r w:rsidRPr="00D3481F">
        <w:t xml:space="preserve">idée que dans toutes les décisions concernant des enfants, leur intérêt supérieur doit primer (voir, entre autres, </w:t>
      </w:r>
      <w:r w:rsidRPr="00D3481F">
        <w:rPr>
          <w:i/>
        </w:rPr>
        <w:t xml:space="preserve">Neulinger et </w:t>
      </w:r>
      <w:r w:rsidRPr="00D3481F">
        <w:rPr>
          <w:i/>
        </w:rPr>
        <w:lastRenderedPageBreak/>
        <w:t xml:space="preserve">Shuruk c. Suisse </w:t>
      </w:r>
      <w:r w:rsidRPr="00D3481F">
        <w:t>[GC], n</w:t>
      </w:r>
      <w:r w:rsidRPr="00D3481F">
        <w:rPr>
          <w:vertAlign w:val="superscript"/>
        </w:rPr>
        <w:t>o</w:t>
      </w:r>
      <w:r w:rsidRPr="00D3481F">
        <w:t> 41615/07, § 135, CEDH 2010</w:t>
      </w:r>
      <w:bookmarkStart w:id="24" w:name="lt_pId1613"/>
      <w:bookmarkEnd w:id="23"/>
      <w:r w:rsidRPr="00D3481F">
        <w:t xml:space="preserve">). </w:t>
      </w:r>
      <w:bookmarkStart w:id="25" w:name="lt_pId1614"/>
      <w:bookmarkEnd w:id="24"/>
      <w:r w:rsidRPr="00D3481F">
        <w:t>Elle souligne d</w:t>
      </w:r>
      <w:r w:rsidR="00D3481F" w:rsidRPr="00D3481F">
        <w:t>’</w:t>
      </w:r>
      <w:r w:rsidRPr="00D3481F">
        <w:t>ailleurs que dans les affaires dans lesquelles sont en jeu des questions de placement d</w:t>
      </w:r>
      <w:r w:rsidR="00D3481F" w:rsidRPr="00D3481F">
        <w:t>’</w:t>
      </w:r>
      <w:r w:rsidRPr="00D3481F">
        <w:t>enfants et de restrictions du droit de visite, l</w:t>
      </w:r>
      <w:r w:rsidR="00D3481F" w:rsidRPr="00D3481F">
        <w:t>’</w:t>
      </w:r>
      <w:r w:rsidRPr="00D3481F">
        <w:t>intérêt de l</w:t>
      </w:r>
      <w:r w:rsidR="00D3481F" w:rsidRPr="00D3481F">
        <w:t>’</w:t>
      </w:r>
      <w:r w:rsidRPr="00D3481F">
        <w:t>enfant doit passer avant toute autre considération (</w:t>
      </w:r>
      <w:bookmarkStart w:id="26" w:name="lt_pId1616"/>
      <w:bookmarkEnd w:id="25"/>
      <w:r w:rsidRPr="00D3481F">
        <w:rPr>
          <w:i/>
        </w:rPr>
        <w:t xml:space="preserve">Strand Lobben </w:t>
      </w:r>
      <w:r w:rsidRPr="00D3481F">
        <w:rPr>
          <w:i/>
          <w:iCs/>
        </w:rPr>
        <w:t>et autres c. Norvège</w:t>
      </w:r>
      <w:r w:rsidRPr="00D3481F">
        <w:t xml:space="preserve"> [GC], n</w:t>
      </w:r>
      <w:r w:rsidRPr="00D3481F">
        <w:rPr>
          <w:vertAlign w:val="superscript"/>
        </w:rPr>
        <w:t>o</w:t>
      </w:r>
      <w:r w:rsidRPr="00D3481F">
        <w:t> 37283/13, § 204, 10 septembre 2019).</w:t>
      </w:r>
      <w:bookmarkEnd w:id="26"/>
      <w:r w:rsidRPr="00D3481F">
        <w:rPr>
          <w:rFonts w:eastAsia="Times New Roman"/>
        </w:rPr>
        <w:t xml:space="preserve"> La plus grande prudence s</w:t>
      </w:r>
      <w:r w:rsidR="00D3481F" w:rsidRPr="00D3481F">
        <w:rPr>
          <w:rFonts w:eastAsia="Times New Roman"/>
        </w:rPr>
        <w:t>’</w:t>
      </w:r>
      <w:r w:rsidRPr="00D3481F">
        <w:rPr>
          <w:rFonts w:eastAsia="Times New Roman"/>
        </w:rPr>
        <w:t>impose lorsqu</w:t>
      </w:r>
      <w:r w:rsidR="00D3481F" w:rsidRPr="00D3481F">
        <w:rPr>
          <w:rFonts w:eastAsia="Times New Roman"/>
        </w:rPr>
        <w:t>’</w:t>
      </w:r>
      <w:r w:rsidRPr="00D3481F">
        <w:rPr>
          <w:rFonts w:eastAsia="Times New Roman"/>
        </w:rPr>
        <w:t>il s</w:t>
      </w:r>
      <w:r w:rsidR="00D3481F" w:rsidRPr="00D3481F">
        <w:rPr>
          <w:rFonts w:eastAsia="Times New Roman"/>
        </w:rPr>
        <w:t>’</w:t>
      </w:r>
      <w:r w:rsidRPr="00D3481F">
        <w:rPr>
          <w:rFonts w:eastAsia="Times New Roman"/>
        </w:rPr>
        <w:t>agit de recourir à la coercition en ce domaine délicat (</w:t>
      </w:r>
      <w:r w:rsidRPr="00D3481F">
        <w:rPr>
          <w:rFonts w:eastAsia="Times New Roman"/>
          <w:i/>
          <w:iCs/>
        </w:rPr>
        <w:t>Mitrova et Savik</w:t>
      </w:r>
      <w:r w:rsidRPr="00D3481F">
        <w:rPr>
          <w:rFonts w:eastAsia="Times New Roman"/>
        </w:rPr>
        <w:t xml:space="preserve"> </w:t>
      </w:r>
      <w:r w:rsidRPr="00D3481F">
        <w:rPr>
          <w:rFonts w:eastAsia="Times New Roman"/>
          <w:i/>
          <w:iCs/>
        </w:rPr>
        <w:t>c</w:t>
      </w:r>
      <w:r w:rsidRPr="00D3481F">
        <w:rPr>
          <w:rFonts w:eastAsia="Times New Roman"/>
        </w:rPr>
        <w:t>. </w:t>
      </w:r>
      <w:r w:rsidRPr="00D3481F">
        <w:rPr>
          <w:rFonts w:eastAsia="Times New Roman"/>
          <w:i/>
          <w:iCs/>
        </w:rPr>
        <w:t>l</w:t>
      </w:r>
      <w:r w:rsidR="00D3481F" w:rsidRPr="00D3481F">
        <w:rPr>
          <w:rFonts w:eastAsia="Times New Roman"/>
          <w:i/>
          <w:iCs/>
        </w:rPr>
        <w:t>’</w:t>
      </w:r>
      <w:r w:rsidRPr="00D3481F">
        <w:rPr>
          <w:rFonts w:eastAsia="Times New Roman"/>
          <w:i/>
          <w:iCs/>
        </w:rPr>
        <w:t>ex-République yougoslave de Macédoine</w:t>
      </w:r>
      <w:r w:rsidRPr="00D3481F">
        <w:rPr>
          <w:rFonts w:eastAsia="Times New Roman"/>
        </w:rPr>
        <w:t>, n</w:t>
      </w:r>
      <w:r w:rsidRPr="00D3481F">
        <w:rPr>
          <w:rFonts w:eastAsia="Times New Roman"/>
          <w:vertAlign w:val="superscript"/>
        </w:rPr>
        <w:t>o</w:t>
      </w:r>
      <w:r w:rsidRPr="00D3481F">
        <w:rPr>
          <w:rFonts w:eastAsia="Times New Roman"/>
        </w:rPr>
        <w:t xml:space="preserve"> 42534/09, § 77, 11 février 2016, et </w:t>
      </w:r>
      <w:r w:rsidRPr="00D3481F">
        <w:rPr>
          <w:rFonts w:eastAsia="Times New Roman"/>
          <w:i/>
          <w:iCs/>
        </w:rPr>
        <w:t>Reigado Ramos c. Portugal</w:t>
      </w:r>
      <w:r w:rsidRPr="00D3481F">
        <w:rPr>
          <w:rFonts w:eastAsia="Times New Roman"/>
        </w:rPr>
        <w:t>, n</w:t>
      </w:r>
      <w:r w:rsidRPr="00D3481F">
        <w:rPr>
          <w:rFonts w:eastAsia="Times New Roman"/>
          <w:vertAlign w:val="superscript"/>
        </w:rPr>
        <w:t>o</w:t>
      </w:r>
      <w:r w:rsidRPr="00D3481F">
        <w:rPr>
          <w:rFonts w:eastAsia="Times New Roman"/>
        </w:rPr>
        <w:t> 73229/01, § 53, 22 novembre 2005). Le point décisif consiste donc à savoir si, en l</w:t>
      </w:r>
      <w:r w:rsidR="00D3481F" w:rsidRPr="00D3481F">
        <w:rPr>
          <w:rFonts w:eastAsia="Times New Roman"/>
        </w:rPr>
        <w:t>’</w:t>
      </w:r>
      <w:r w:rsidRPr="00D3481F">
        <w:rPr>
          <w:rFonts w:eastAsia="Times New Roman"/>
        </w:rPr>
        <w:t>espèce, les autorités nationales ont pris, pour faciliter les visites entre le parent et l</w:t>
      </w:r>
      <w:r w:rsidR="00D3481F" w:rsidRPr="00D3481F">
        <w:rPr>
          <w:rFonts w:eastAsia="Times New Roman"/>
        </w:rPr>
        <w:t>’</w:t>
      </w:r>
      <w:r w:rsidRPr="00D3481F">
        <w:rPr>
          <w:rFonts w:eastAsia="Times New Roman"/>
        </w:rPr>
        <w:t>enfant, toutes les mesures nécessaires que l</w:t>
      </w:r>
      <w:r w:rsidR="00D3481F" w:rsidRPr="00D3481F">
        <w:rPr>
          <w:rFonts w:eastAsia="Times New Roman"/>
        </w:rPr>
        <w:t>’</w:t>
      </w:r>
      <w:r w:rsidRPr="00D3481F">
        <w:rPr>
          <w:rFonts w:eastAsia="Times New Roman"/>
        </w:rPr>
        <w:t>on pouvait raisonnablement exiger d</w:t>
      </w:r>
      <w:r w:rsidR="00D3481F" w:rsidRPr="00D3481F">
        <w:rPr>
          <w:rFonts w:eastAsia="Times New Roman"/>
        </w:rPr>
        <w:t>’</w:t>
      </w:r>
      <w:r w:rsidRPr="00D3481F">
        <w:rPr>
          <w:rFonts w:eastAsia="Times New Roman"/>
        </w:rPr>
        <w:t>elles (</w:t>
      </w:r>
      <w:r w:rsidRPr="00D3481F">
        <w:rPr>
          <w:i/>
        </w:rPr>
        <w:t>Nuutinen c. Finlande</w:t>
      </w:r>
      <w:r w:rsidRPr="00D3481F">
        <w:t>, n</w:t>
      </w:r>
      <w:r w:rsidRPr="00D3481F">
        <w:rPr>
          <w:vertAlign w:val="superscript"/>
        </w:rPr>
        <w:t>o</w:t>
      </w:r>
      <w:r w:rsidRPr="00D3481F">
        <w:t> 32842/96, § 128, CEDH 2000</w:t>
      </w:r>
      <w:r w:rsidRPr="00D3481F">
        <w:noBreakHyphen/>
        <w:t>VIII</w:t>
      </w:r>
      <w:r w:rsidRPr="00D3481F">
        <w:rPr>
          <w:rFonts w:eastAsia="Times New Roman"/>
        </w:rPr>
        <w:t>).</w:t>
      </w:r>
    </w:p>
    <w:p w:rsidR="007F7726" w:rsidRPr="00D3481F" w:rsidRDefault="007F7726" w:rsidP="00D3481F">
      <w:pPr>
        <w:pStyle w:val="JuHa0"/>
      </w:pPr>
      <w:r w:rsidRPr="00D3481F">
        <w:t>Application de ces principes à la présente espèce</w:t>
      </w:r>
    </w:p>
    <w:p w:rsidR="007F7726" w:rsidRPr="00D3481F" w:rsidRDefault="007F7726" w:rsidP="00D3481F">
      <w:pPr>
        <w:pStyle w:val="JuPara"/>
        <w:rPr>
          <w:rFonts w:eastAsia="Times New Roman"/>
        </w:rPr>
      </w:pPr>
      <w:r w:rsidRPr="00D3481F">
        <w:fldChar w:fldCharType="begin"/>
      </w:r>
      <w:r w:rsidRPr="00D3481F">
        <w:instrText xml:space="preserve"> SEQ level0 \*arabic </w:instrText>
      </w:r>
      <w:r w:rsidRPr="00D3481F">
        <w:fldChar w:fldCharType="separate"/>
      </w:r>
      <w:r w:rsidR="00D3481F" w:rsidRPr="00D3481F">
        <w:rPr>
          <w:noProof/>
        </w:rPr>
        <w:t>69</w:t>
      </w:r>
      <w:r w:rsidRPr="00D3481F">
        <w:fldChar w:fldCharType="end"/>
      </w:r>
      <w:r w:rsidRPr="00D3481F">
        <w:t>.  Se tournant vers les faits de la présente cause, la Cour estime que, devant les circonstances qui lui sont soumises, sa tâche consiste à rechercher si les autorités nationales ont pris toutes les mesures que l</w:t>
      </w:r>
      <w:r w:rsidR="00D3481F" w:rsidRPr="00D3481F">
        <w:t>’</w:t>
      </w:r>
      <w:r w:rsidRPr="00D3481F">
        <w:t>on pouvait raisonnablement exiger d</w:t>
      </w:r>
      <w:r w:rsidR="00D3481F" w:rsidRPr="00D3481F">
        <w:t>’</w:t>
      </w:r>
      <w:r w:rsidRPr="00D3481F">
        <w:t>elles po</w:t>
      </w:r>
      <w:r w:rsidRPr="00D3481F">
        <w:rPr>
          <w:rFonts w:eastAsia="Times New Roman"/>
        </w:rPr>
        <w:t>ur maintenir les liens entre le requérant et son fils (</w:t>
      </w:r>
      <w:r w:rsidRPr="00D3481F">
        <w:rPr>
          <w:rFonts w:eastAsia="Times New Roman"/>
          <w:i/>
        </w:rPr>
        <w:t>Bondavalli c. Italie</w:t>
      </w:r>
      <w:r w:rsidRPr="00D3481F">
        <w:rPr>
          <w:rFonts w:eastAsia="Times New Roman"/>
        </w:rPr>
        <w:t>, n</w:t>
      </w:r>
      <w:r w:rsidRPr="00D3481F">
        <w:rPr>
          <w:rFonts w:eastAsia="Times New Roman"/>
          <w:vertAlign w:val="superscript"/>
        </w:rPr>
        <w:t>o</w:t>
      </w:r>
      <w:r w:rsidRPr="00D3481F">
        <w:rPr>
          <w:rFonts w:eastAsia="Times New Roman"/>
        </w:rPr>
        <w:t> </w:t>
      </w:r>
      <w:hyperlink r:id="rId32" w:anchor="{&quot;appno&quot;:[&quot;35532/12&quot;]}" w:tgtFrame="_blank" w:history="1">
        <w:r w:rsidRPr="00D3481F">
          <w:rPr>
            <w:rFonts w:eastAsia="Times New Roman"/>
          </w:rPr>
          <w:t>35532/12</w:t>
        </w:r>
      </w:hyperlink>
      <w:r w:rsidRPr="00D3481F">
        <w:rPr>
          <w:rFonts w:eastAsia="Times New Roman"/>
        </w:rPr>
        <w:t>, § 75, 17 novembre 2015) et à examiner la manière dont elles sont intervenues pour faciliter l</w:t>
      </w:r>
      <w:r w:rsidR="00D3481F" w:rsidRPr="00D3481F">
        <w:rPr>
          <w:rFonts w:eastAsia="Times New Roman"/>
        </w:rPr>
        <w:t>’</w:t>
      </w:r>
      <w:r w:rsidRPr="00D3481F">
        <w:rPr>
          <w:rFonts w:eastAsia="Times New Roman"/>
        </w:rPr>
        <w:t>exercice du droit de visite du requérant tel que défini par les décisions de justice (</w:t>
      </w:r>
      <w:r w:rsidRPr="00D3481F">
        <w:rPr>
          <w:rFonts w:eastAsia="Times New Roman"/>
          <w:i/>
        </w:rPr>
        <w:t>Hokkanen c. Finlande</w:t>
      </w:r>
      <w:r w:rsidRPr="00D3481F">
        <w:rPr>
          <w:rFonts w:eastAsia="Times New Roman"/>
        </w:rPr>
        <w:t>, 23 septembre 1994, § 58, série A n</w:t>
      </w:r>
      <w:r w:rsidRPr="00D3481F">
        <w:rPr>
          <w:rFonts w:eastAsia="Times New Roman"/>
          <w:vertAlign w:val="superscript"/>
        </w:rPr>
        <w:t>o</w:t>
      </w:r>
      <w:r w:rsidRPr="00D3481F">
        <w:rPr>
          <w:rFonts w:eastAsia="Times New Roman"/>
        </w:rPr>
        <w:t> 299</w:t>
      </w:r>
      <w:r w:rsidRPr="00D3481F">
        <w:rPr>
          <w:rFonts w:eastAsia="Times New Roman"/>
        </w:rPr>
        <w:noBreakHyphen/>
        <w:t xml:space="preserve">A, et </w:t>
      </w:r>
      <w:r w:rsidRPr="00D3481F">
        <w:rPr>
          <w:rFonts w:eastAsia="Times New Roman"/>
          <w:i/>
        </w:rPr>
        <w:t>Kuppinger</w:t>
      </w:r>
      <w:r w:rsidRPr="00D3481F">
        <w:rPr>
          <w:rFonts w:eastAsia="Times New Roman"/>
          <w:iCs/>
        </w:rPr>
        <w:t>, précité,</w:t>
      </w:r>
      <w:r w:rsidRPr="00D3481F">
        <w:rPr>
          <w:rFonts w:eastAsia="Times New Roman"/>
        </w:rPr>
        <w:t xml:space="preserve"> § 105). Elle rappelle aussi que, dans une affaire de ce type, le caractère adéquat d</w:t>
      </w:r>
      <w:r w:rsidR="00D3481F" w:rsidRPr="00D3481F">
        <w:rPr>
          <w:rFonts w:eastAsia="Times New Roman"/>
        </w:rPr>
        <w:t>’</w:t>
      </w:r>
      <w:r w:rsidRPr="00D3481F">
        <w:rPr>
          <w:rFonts w:eastAsia="Times New Roman"/>
        </w:rPr>
        <w:t>une mesure se juge à la rapidité de sa mise en œuvre (</w:t>
      </w:r>
      <w:r w:rsidRPr="00D3481F">
        <w:rPr>
          <w:rFonts w:eastAsia="Times New Roman"/>
          <w:i/>
        </w:rPr>
        <w:t>Piazzi c. Italie</w:t>
      </w:r>
      <w:r w:rsidRPr="00D3481F">
        <w:rPr>
          <w:rFonts w:eastAsia="Times New Roman"/>
        </w:rPr>
        <w:t>, n</w:t>
      </w:r>
      <w:r w:rsidRPr="00D3481F">
        <w:rPr>
          <w:rFonts w:eastAsia="Times New Roman"/>
          <w:vertAlign w:val="superscript"/>
        </w:rPr>
        <w:t>o</w:t>
      </w:r>
      <w:r w:rsidRPr="00D3481F">
        <w:rPr>
          <w:rFonts w:eastAsia="Times New Roman"/>
        </w:rPr>
        <w:t> </w:t>
      </w:r>
      <w:hyperlink r:id="rId33" w:anchor="{&quot;appno&quot;:[&quot;36168/09&quot;]}" w:tgtFrame="_blank" w:history="1">
        <w:r w:rsidRPr="00D3481F">
          <w:rPr>
            <w:rFonts w:eastAsia="Times New Roman"/>
          </w:rPr>
          <w:t>36168/09</w:t>
        </w:r>
      </w:hyperlink>
      <w:r w:rsidRPr="00D3481F">
        <w:rPr>
          <w:rFonts w:eastAsia="Times New Roman"/>
        </w:rPr>
        <w:t>, § 58, 2 novembre 2010), car le passage du temps peut à lui seul avoir des conséquences sur la relation d</w:t>
      </w:r>
      <w:r w:rsidR="00D3481F" w:rsidRPr="00D3481F">
        <w:rPr>
          <w:rFonts w:eastAsia="Times New Roman"/>
        </w:rPr>
        <w:t>’</w:t>
      </w:r>
      <w:r w:rsidRPr="00D3481F">
        <w:rPr>
          <w:rFonts w:eastAsia="Times New Roman"/>
        </w:rPr>
        <w:t>un parent avec son enfant.</w:t>
      </w:r>
    </w:p>
    <w:bookmarkStart w:id="27" w:name="paragraph68"/>
    <w:p w:rsidR="007F7726" w:rsidRPr="00D3481F" w:rsidRDefault="007F7726" w:rsidP="00D3481F">
      <w:pPr>
        <w:pStyle w:val="JuPara"/>
        <w:rPr>
          <w:rFonts w:eastAsia="Times New Roman"/>
        </w:rPr>
      </w:pPr>
      <w:r w:rsidRPr="00D3481F">
        <w:rPr>
          <w:rFonts w:eastAsia="Times New Roman"/>
        </w:rPr>
        <w:fldChar w:fldCharType="begin"/>
      </w:r>
      <w:r w:rsidRPr="00D3481F">
        <w:rPr>
          <w:rFonts w:eastAsia="Times New Roman"/>
        </w:rPr>
        <w:instrText xml:space="preserve"> SEQ level0 \*arabic </w:instrText>
      </w:r>
      <w:r w:rsidRPr="00D3481F">
        <w:rPr>
          <w:rFonts w:eastAsia="Times New Roman"/>
        </w:rPr>
        <w:fldChar w:fldCharType="separate"/>
      </w:r>
      <w:r w:rsidR="00D3481F" w:rsidRPr="00D3481F">
        <w:rPr>
          <w:rFonts w:eastAsia="Times New Roman"/>
          <w:noProof/>
        </w:rPr>
        <w:t>70</w:t>
      </w:r>
      <w:r w:rsidRPr="00D3481F">
        <w:rPr>
          <w:rFonts w:eastAsia="Times New Roman"/>
        </w:rPr>
        <w:fldChar w:fldCharType="end"/>
      </w:r>
      <w:bookmarkEnd w:id="27"/>
      <w:r w:rsidRPr="00D3481F">
        <w:rPr>
          <w:rFonts w:eastAsia="Times New Roman"/>
        </w:rPr>
        <w:t>.  La Cour relève qu</w:t>
      </w:r>
      <w:r w:rsidR="00D3481F" w:rsidRPr="00D3481F">
        <w:rPr>
          <w:rFonts w:eastAsia="Times New Roman"/>
        </w:rPr>
        <w:t>’</w:t>
      </w:r>
      <w:r w:rsidRPr="00D3481F">
        <w:rPr>
          <w:rFonts w:eastAsia="Times New Roman"/>
        </w:rPr>
        <w:t>à partir de 2015, alors que l</w:t>
      </w:r>
      <w:r w:rsidR="00D3481F" w:rsidRPr="00D3481F">
        <w:rPr>
          <w:rFonts w:eastAsia="Times New Roman"/>
        </w:rPr>
        <w:t>’</w:t>
      </w:r>
      <w:r w:rsidRPr="00D3481F">
        <w:rPr>
          <w:rFonts w:eastAsia="Times New Roman"/>
        </w:rPr>
        <w:t>enfant n</w:t>
      </w:r>
      <w:r w:rsidR="00D3481F" w:rsidRPr="00D3481F">
        <w:rPr>
          <w:rFonts w:eastAsia="Times New Roman"/>
        </w:rPr>
        <w:t>’</w:t>
      </w:r>
      <w:r w:rsidRPr="00D3481F">
        <w:rPr>
          <w:rFonts w:eastAsia="Times New Roman"/>
        </w:rPr>
        <w:t>avait que onze mois, le requérant n</w:t>
      </w:r>
      <w:r w:rsidR="00D3481F" w:rsidRPr="00D3481F">
        <w:rPr>
          <w:rFonts w:eastAsia="Times New Roman"/>
        </w:rPr>
        <w:t>’</w:t>
      </w:r>
      <w:r w:rsidRPr="00D3481F">
        <w:rPr>
          <w:rFonts w:eastAsia="Times New Roman"/>
        </w:rPr>
        <w:t>a cessé de demander au tribunal que des rencontres fussent organisées, mais qu</w:t>
      </w:r>
      <w:r w:rsidR="00D3481F" w:rsidRPr="00D3481F">
        <w:rPr>
          <w:rFonts w:eastAsia="Times New Roman"/>
        </w:rPr>
        <w:t>’</w:t>
      </w:r>
      <w:r w:rsidRPr="00D3481F">
        <w:rPr>
          <w:rFonts w:eastAsia="Times New Roman"/>
        </w:rPr>
        <w:t>il n</w:t>
      </w:r>
      <w:r w:rsidR="00D3481F" w:rsidRPr="00D3481F">
        <w:rPr>
          <w:rFonts w:eastAsia="Times New Roman"/>
        </w:rPr>
        <w:t>’</w:t>
      </w:r>
      <w:r w:rsidRPr="00D3481F">
        <w:rPr>
          <w:rFonts w:eastAsia="Times New Roman"/>
        </w:rPr>
        <w:t>a pas pu exercer son droit de visite en raison de l</w:t>
      </w:r>
      <w:r w:rsidR="00D3481F" w:rsidRPr="00D3481F">
        <w:rPr>
          <w:rFonts w:eastAsia="Times New Roman"/>
        </w:rPr>
        <w:t>’</w:t>
      </w:r>
      <w:r w:rsidRPr="00D3481F">
        <w:rPr>
          <w:rFonts w:eastAsia="Times New Roman"/>
        </w:rPr>
        <w:t>opposition de L.R., qui avait quitté le domicile familial et l</w:t>
      </w:r>
      <w:r w:rsidR="00D3481F" w:rsidRPr="00D3481F">
        <w:rPr>
          <w:rFonts w:eastAsia="Times New Roman"/>
        </w:rPr>
        <w:t>’</w:t>
      </w:r>
      <w:r w:rsidRPr="00D3481F">
        <w:rPr>
          <w:rFonts w:eastAsia="Times New Roman"/>
        </w:rPr>
        <w:t>empêchait d</w:t>
      </w:r>
      <w:r w:rsidR="00D3481F" w:rsidRPr="00D3481F">
        <w:rPr>
          <w:rFonts w:eastAsia="Times New Roman"/>
        </w:rPr>
        <w:t>’</w:t>
      </w:r>
      <w:r w:rsidRPr="00D3481F">
        <w:rPr>
          <w:rFonts w:eastAsia="Times New Roman"/>
        </w:rPr>
        <w:t>avoir le moindre contact avec l</w:t>
      </w:r>
      <w:r w:rsidR="00D3481F" w:rsidRPr="00D3481F">
        <w:rPr>
          <w:rFonts w:eastAsia="Times New Roman"/>
        </w:rPr>
        <w:t>’</w:t>
      </w:r>
      <w:r w:rsidRPr="00D3481F">
        <w:rPr>
          <w:rFonts w:eastAsia="Times New Roman"/>
        </w:rPr>
        <w:t>enfant.</w:t>
      </w:r>
    </w:p>
    <w:p w:rsidR="007F7726" w:rsidRPr="00D3481F" w:rsidRDefault="007F7726" w:rsidP="00D3481F">
      <w:pPr>
        <w:pStyle w:val="JuPara"/>
        <w:rPr>
          <w:rFonts w:eastAsia="Times New Roman"/>
        </w:rPr>
      </w:pPr>
      <w:r w:rsidRPr="00D3481F">
        <w:fldChar w:fldCharType="begin"/>
      </w:r>
      <w:r w:rsidRPr="00D3481F">
        <w:instrText xml:space="preserve"> SEQ level0 \*arabic </w:instrText>
      </w:r>
      <w:r w:rsidRPr="00D3481F">
        <w:fldChar w:fldCharType="separate"/>
      </w:r>
      <w:r w:rsidR="00D3481F" w:rsidRPr="00D3481F">
        <w:rPr>
          <w:noProof/>
        </w:rPr>
        <w:t>71</w:t>
      </w:r>
      <w:r w:rsidRPr="00D3481F">
        <w:fldChar w:fldCharType="end"/>
      </w:r>
      <w:r w:rsidRPr="00D3481F">
        <w:t>.  En 2016, le tribunal de Trévise observa que le requérant ne pouvait pas voir son fils et que L.R. persistait à s</w:t>
      </w:r>
      <w:r w:rsidR="00D3481F" w:rsidRPr="00D3481F">
        <w:t>’</w:t>
      </w:r>
      <w:r w:rsidRPr="00D3481F">
        <w:t>opposer aux rencontres entre le requérant et l</w:t>
      </w:r>
      <w:r w:rsidR="00D3481F" w:rsidRPr="00D3481F">
        <w:t>’</w:t>
      </w:r>
      <w:r w:rsidRPr="00D3481F">
        <w:t>enfant.</w:t>
      </w:r>
    </w:p>
    <w:p w:rsidR="007F7726" w:rsidRPr="00D3481F" w:rsidRDefault="007F7726" w:rsidP="00D3481F">
      <w:pPr>
        <w:pStyle w:val="JuPara"/>
        <w:rPr>
          <w:rStyle w:val="JuParaChar"/>
        </w:rPr>
      </w:pPr>
      <w:r w:rsidRPr="00D3481F">
        <w:rPr>
          <w:rFonts w:eastAsia="Times New Roman"/>
        </w:rPr>
        <w:fldChar w:fldCharType="begin"/>
      </w:r>
      <w:r w:rsidRPr="00D3481F">
        <w:rPr>
          <w:rFonts w:eastAsia="Times New Roman"/>
        </w:rPr>
        <w:instrText xml:space="preserve"> SEQ level0 \*arabic </w:instrText>
      </w:r>
      <w:r w:rsidRPr="00D3481F">
        <w:rPr>
          <w:rFonts w:eastAsia="Times New Roman"/>
        </w:rPr>
        <w:fldChar w:fldCharType="separate"/>
      </w:r>
      <w:r w:rsidR="00D3481F" w:rsidRPr="00D3481F">
        <w:rPr>
          <w:rFonts w:eastAsia="Times New Roman"/>
          <w:noProof/>
        </w:rPr>
        <w:t>72</w:t>
      </w:r>
      <w:r w:rsidRPr="00D3481F">
        <w:rPr>
          <w:rFonts w:eastAsia="Times New Roman"/>
        </w:rPr>
        <w:fldChar w:fldCharType="end"/>
      </w:r>
      <w:r w:rsidRPr="00D3481F">
        <w:rPr>
          <w:rFonts w:eastAsia="Times New Roman"/>
        </w:rPr>
        <w:t>.  À partir de décembre 2016, après le déménagement de la mère de l</w:t>
      </w:r>
      <w:r w:rsidR="00D3481F" w:rsidRPr="00D3481F">
        <w:rPr>
          <w:rFonts w:eastAsia="Times New Roman"/>
        </w:rPr>
        <w:t>’</w:t>
      </w:r>
      <w:r w:rsidRPr="00D3481F">
        <w:rPr>
          <w:rFonts w:eastAsia="Times New Roman"/>
        </w:rPr>
        <w:t xml:space="preserve">enfant dans une autre ville, à environ six cents kilomètres de distance, sans </w:t>
      </w:r>
      <w:r w:rsidRPr="00D3481F">
        <w:t xml:space="preserve">le </w:t>
      </w:r>
      <w:r w:rsidRPr="00D3481F">
        <w:rPr>
          <w:rStyle w:val="JuParaChar"/>
        </w:rPr>
        <w:t>consentement des tribunaux et du requérant, ce dernier n</w:t>
      </w:r>
      <w:r w:rsidR="00D3481F" w:rsidRPr="00D3481F">
        <w:rPr>
          <w:rStyle w:val="JuParaChar"/>
        </w:rPr>
        <w:t>’</w:t>
      </w:r>
      <w:r w:rsidRPr="00D3481F">
        <w:rPr>
          <w:rStyle w:val="JuParaChar"/>
        </w:rPr>
        <w:t>a plus été en mesure de voir son fils, en particulier en raison du refus de la mère d</w:t>
      </w:r>
      <w:r w:rsidR="00D3481F" w:rsidRPr="00D3481F">
        <w:rPr>
          <w:rStyle w:val="JuParaChar"/>
        </w:rPr>
        <w:t>’</w:t>
      </w:r>
      <w:r w:rsidRPr="00D3481F">
        <w:rPr>
          <w:rStyle w:val="JuParaChar"/>
        </w:rPr>
        <w:t>organiser des rencontres.</w:t>
      </w:r>
    </w:p>
    <w:p w:rsidR="007F7726" w:rsidRPr="00D3481F" w:rsidRDefault="007F7726" w:rsidP="00D3481F">
      <w:pPr>
        <w:pStyle w:val="JuPara"/>
      </w:pPr>
      <w:r w:rsidRPr="00D3481F">
        <w:fldChar w:fldCharType="begin"/>
      </w:r>
      <w:r w:rsidRPr="00D3481F">
        <w:instrText xml:space="preserve"> SEQ level0 \*arabic </w:instrText>
      </w:r>
      <w:r w:rsidRPr="00D3481F">
        <w:fldChar w:fldCharType="separate"/>
      </w:r>
      <w:r w:rsidR="00D3481F" w:rsidRPr="00D3481F">
        <w:rPr>
          <w:noProof/>
        </w:rPr>
        <w:t>73</w:t>
      </w:r>
      <w:r w:rsidRPr="00D3481F">
        <w:fldChar w:fldCharType="end"/>
      </w:r>
      <w:r w:rsidRPr="00D3481F">
        <w:t>.  La Cour observe que, nonobstant la décision de la cour d</w:t>
      </w:r>
      <w:r w:rsidR="00D3481F" w:rsidRPr="00D3481F">
        <w:t>’</w:t>
      </w:r>
      <w:r w:rsidRPr="00D3481F">
        <w:t>appel de Venise du 30 janvier 2017 établissant que la résidence de l</w:t>
      </w:r>
      <w:r w:rsidR="00D3481F" w:rsidRPr="00D3481F">
        <w:t>’</w:t>
      </w:r>
      <w:r w:rsidRPr="00D3481F">
        <w:t xml:space="preserve">enfant était à </w:t>
      </w:r>
      <w:r w:rsidRPr="00D3481F">
        <w:lastRenderedPageBreak/>
        <w:t>Z.B. et réfutant que le déménagement à Rome eût été autorisé, L.R. a fixé sa résidence à Rome.</w:t>
      </w:r>
    </w:p>
    <w:p w:rsidR="007F7726" w:rsidRPr="00D3481F" w:rsidRDefault="007F7726" w:rsidP="00D3481F">
      <w:pPr>
        <w:pStyle w:val="JuPara"/>
      </w:pPr>
      <w:r w:rsidRPr="00D3481F">
        <w:fldChar w:fldCharType="begin"/>
      </w:r>
      <w:r w:rsidRPr="00D3481F">
        <w:instrText xml:space="preserve"> SEQ level0 \*arabic </w:instrText>
      </w:r>
      <w:r w:rsidRPr="00D3481F">
        <w:fldChar w:fldCharType="separate"/>
      </w:r>
      <w:r w:rsidR="00D3481F" w:rsidRPr="00D3481F">
        <w:rPr>
          <w:noProof/>
        </w:rPr>
        <w:t>74</w:t>
      </w:r>
      <w:r w:rsidRPr="00D3481F">
        <w:fldChar w:fldCharType="end"/>
      </w:r>
      <w:r w:rsidRPr="00D3481F">
        <w:t>.  Par conséquent, le 10 juillet 2017, le requérant saisit à nouveau le tribunal pour enfants de Venise en faisant valoir que L.R. avait déménagé sans autorisation et que de ce fait il lui était impossible de voir son fils car elle s</w:t>
      </w:r>
      <w:r w:rsidR="00D3481F" w:rsidRPr="00D3481F">
        <w:t>’</w:t>
      </w:r>
      <w:r w:rsidRPr="00D3481F">
        <w:t>opposait aux rencontres.</w:t>
      </w:r>
    </w:p>
    <w:p w:rsidR="007F7726" w:rsidRPr="00D3481F" w:rsidRDefault="007F7726" w:rsidP="00D3481F">
      <w:pPr>
        <w:pStyle w:val="JuPara"/>
      </w:pPr>
      <w:r w:rsidRPr="00D3481F">
        <w:fldChar w:fldCharType="begin"/>
      </w:r>
      <w:r w:rsidRPr="00D3481F">
        <w:instrText xml:space="preserve"> SEQ level0 \*arabic </w:instrText>
      </w:r>
      <w:r w:rsidRPr="00D3481F">
        <w:fldChar w:fldCharType="separate"/>
      </w:r>
      <w:r w:rsidR="00D3481F" w:rsidRPr="00D3481F">
        <w:rPr>
          <w:noProof/>
        </w:rPr>
        <w:t>75</w:t>
      </w:r>
      <w:r w:rsidRPr="00D3481F">
        <w:fldChar w:fldCharType="end"/>
      </w:r>
      <w:r w:rsidRPr="00D3481F">
        <w:t>.  En 2017, nonobstant les recours dont le parquet et le requérant saisirent le tribunal de Venise et le signalement effectué par les services sociaux, le tribunal n</w:t>
      </w:r>
      <w:r w:rsidR="00D3481F" w:rsidRPr="00D3481F">
        <w:t>’</w:t>
      </w:r>
      <w:r w:rsidRPr="00D3481F">
        <w:t>a pris aucune mesure. La Cour note que pour pouvoir voir son fils, le requérant a été obligé de demander l</w:t>
      </w:r>
      <w:r w:rsidR="00D3481F" w:rsidRPr="00D3481F">
        <w:t>’</w:t>
      </w:r>
      <w:r w:rsidRPr="00D3481F">
        <w:t>intervention de la force publique.</w:t>
      </w:r>
    </w:p>
    <w:p w:rsidR="007F7726" w:rsidRPr="00D3481F" w:rsidRDefault="007F7726" w:rsidP="00D3481F">
      <w:pPr>
        <w:pStyle w:val="JuPara"/>
      </w:pPr>
      <w:r w:rsidRPr="00D3481F">
        <w:fldChar w:fldCharType="begin"/>
      </w:r>
      <w:r w:rsidRPr="00D3481F">
        <w:instrText xml:space="preserve"> SEQ level0 \*arabic </w:instrText>
      </w:r>
      <w:r w:rsidRPr="00D3481F">
        <w:fldChar w:fldCharType="separate"/>
      </w:r>
      <w:r w:rsidR="00D3481F" w:rsidRPr="00D3481F">
        <w:rPr>
          <w:noProof/>
        </w:rPr>
        <w:t>76</w:t>
      </w:r>
      <w:r w:rsidRPr="00D3481F">
        <w:fldChar w:fldCharType="end"/>
      </w:r>
      <w:r w:rsidRPr="00D3481F">
        <w:t>.  Elle remarque que le tribunal de Venise a attendu deux ans avant de se prononcer. Tout en reconnaissant que le comportement de L.R. était préjudiciable à l</w:t>
      </w:r>
      <w:r w:rsidR="00D3481F" w:rsidRPr="00D3481F">
        <w:t>’</w:t>
      </w:r>
      <w:r w:rsidRPr="00D3481F">
        <w:t>enfant, il estima qu</w:t>
      </w:r>
      <w:r w:rsidR="00D3481F" w:rsidRPr="00D3481F">
        <w:t>’</w:t>
      </w:r>
      <w:r w:rsidRPr="00D3481F">
        <w:t>il n</w:t>
      </w:r>
      <w:r w:rsidR="00D3481F" w:rsidRPr="00D3481F">
        <w:t>’</w:t>
      </w:r>
      <w:r w:rsidRPr="00D3481F">
        <w:t>était pas dans l</w:t>
      </w:r>
      <w:r w:rsidR="00D3481F" w:rsidRPr="00D3481F">
        <w:t>’</w:t>
      </w:r>
      <w:r w:rsidRPr="00D3481F">
        <w:t>intérêt de l</w:t>
      </w:r>
      <w:r w:rsidR="00D3481F" w:rsidRPr="00D3481F">
        <w:t>’</w:t>
      </w:r>
      <w:r w:rsidRPr="00D3481F">
        <w:t>enfant d</w:t>
      </w:r>
      <w:r w:rsidR="00D3481F" w:rsidRPr="00D3481F">
        <w:t>’</w:t>
      </w:r>
      <w:r w:rsidRPr="00D3481F">
        <w:t>être éloigné de L.R. et établit par conséquent la résidence principale de l</w:t>
      </w:r>
      <w:r w:rsidR="00D3481F" w:rsidRPr="00D3481F">
        <w:t>’</w:t>
      </w:r>
      <w:r w:rsidRPr="00D3481F">
        <w:t>enfant chez sa mère, en accordant un droit de visite au requérant.</w:t>
      </w:r>
    </w:p>
    <w:bookmarkStart w:id="28" w:name="paragraph76"/>
    <w:p w:rsidR="007F7726" w:rsidRPr="00D3481F" w:rsidRDefault="007F7726" w:rsidP="00D3481F">
      <w:pPr>
        <w:pStyle w:val="JuPara"/>
      </w:pPr>
      <w:r w:rsidRPr="00D3481F">
        <w:fldChar w:fldCharType="begin"/>
      </w:r>
      <w:r w:rsidRPr="00D3481F">
        <w:instrText xml:space="preserve"> SEQ level0 \*arabic </w:instrText>
      </w:r>
      <w:r w:rsidRPr="00D3481F">
        <w:fldChar w:fldCharType="separate"/>
      </w:r>
      <w:r w:rsidR="00D3481F" w:rsidRPr="00D3481F">
        <w:rPr>
          <w:noProof/>
        </w:rPr>
        <w:t>77</w:t>
      </w:r>
      <w:r w:rsidRPr="00D3481F">
        <w:fldChar w:fldCharType="end"/>
      </w:r>
      <w:bookmarkEnd w:id="28"/>
      <w:r w:rsidRPr="00D3481F">
        <w:t>.  La Cour note qu</w:t>
      </w:r>
      <w:r w:rsidR="00D3481F" w:rsidRPr="00D3481F">
        <w:t>’</w:t>
      </w:r>
      <w:r w:rsidRPr="00D3481F">
        <w:t>à ce jour le requérant se trouve dans l</w:t>
      </w:r>
      <w:r w:rsidR="00D3481F" w:rsidRPr="00D3481F">
        <w:t>’</w:t>
      </w:r>
      <w:r w:rsidRPr="00D3481F">
        <w:t>impossibilité d</w:t>
      </w:r>
      <w:r w:rsidR="00D3481F" w:rsidRPr="00D3481F">
        <w:t>’</w:t>
      </w:r>
      <w:r w:rsidRPr="00D3481F">
        <w:t>exercer ce droit de visite parce que L.R. s</w:t>
      </w:r>
      <w:r w:rsidR="00D3481F" w:rsidRPr="00D3481F">
        <w:t>’</w:t>
      </w:r>
      <w:r w:rsidRPr="00D3481F">
        <w:t>y oppose et que les rencontres ne sont pas organisées.</w:t>
      </w:r>
    </w:p>
    <w:p w:rsidR="007F7726" w:rsidRPr="00D3481F" w:rsidRDefault="007F7726" w:rsidP="00D3481F">
      <w:pPr>
        <w:pStyle w:val="JuPara"/>
        <w:rPr>
          <w:rFonts w:ascii="Times New Roman" w:eastAsia="Times New Roman" w:hAnsi="Times New Roman" w:cs="Times New Roman"/>
        </w:rPr>
      </w:pPr>
      <w:r w:rsidRPr="00D3481F">
        <w:rPr>
          <w:rFonts w:eastAsia="Times New Roman"/>
        </w:rPr>
        <w:fldChar w:fldCharType="begin"/>
      </w:r>
      <w:r w:rsidRPr="00D3481F">
        <w:rPr>
          <w:rFonts w:eastAsia="Times New Roman"/>
        </w:rPr>
        <w:instrText xml:space="preserve"> SEQ level0 \*arabic </w:instrText>
      </w:r>
      <w:r w:rsidRPr="00D3481F">
        <w:rPr>
          <w:rFonts w:eastAsia="Times New Roman"/>
        </w:rPr>
        <w:fldChar w:fldCharType="separate"/>
      </w:r>
      <w:r w:rsidR="00D3481F" w:rsidRPr="00D3481F">
        <w:rPr>
          <w:rFonts w:eastAsia="Times New Roman"/>
          <w:noProof/>
        </w:rPr>
        <w:t>78</w:t>
      </w:r>
      <w:r w:rsidRPr="00D3481F">
        <w:rPr>
          <w:rFonts w:eastAsia="Times New Roman"/>
        </w:rPr>
        <w:fldChar w:fldCharType="end"/>
      </w:r>
      <w:r w:rsidRPr="00D3481F">
        <w:rPr>
          <w:rFonts w:eastAsia="Times New Roman"/>
        </w:rPr>
        <w:t>.  La Cour rappelle qu</w:t>
      </w:r>
      <w:r w:rsidR="00D3481F" w:rsidRPr="00D3481F">
        <w:rPr>
          <w:rFonts w:eastAsia="Times New Roman"/>
        </w:rPr>
        <w:t>’</w:t>
      </w:r>
      <w:r w:rsidRPr="00D3481F">
        <w:rPr>
          <w:rFonts w:eastAsia="Times New Roman"/>
        </w:rPr>
        <w:t>il ne lui appartient pas de substituer son appréciation à celle des autorités nationales compétentes quant aux mesures qui auraient dû être prises, car ces autorités sont en principe mieux placées pour procéder à une telle évaluation, notamment parce qu</w:t>
      </w:r>
      <w:r w:rsidR="00D3481F" w:rsidRPr="00D3481F">
        <w:rPr>
          <w:rFonts w:eastAsia="Times New Roman"/>
        </w:rPr>
        <w:t>’</w:t>
      </w:r>
      <w:r w:rsidRPr="00D3481F">
        <w:rPr>
          <w:rFonts w:eastAsia="Times New Roman"/>
        </w:rPr>
        <w:t>elles sont en contact direct avec le contexte de l</w:t>
      </w:r>
      <w:r w:rsidR="00D3481F" w:rsidRPr="00D3481F">
        <w:rPr>
          <w:rFonts w:eastAsia="Times New Roman"/>
        </w:rPr>
        <w:t>’</w:t>
      </w:r>
      <w:r w:rsidRPr="00D3481F">
        <w:rPr>
          <w:rFonts w:eastAsia="Times New Roman"/>
        </w:rPr>
        <w:t>affaire et les parties impliquées (</w:t>
      </w:r>
      <w:r w:rsidRPr="00D3481F">
        <w:rPr>
          <w:rFonts w:eastAsia="Times New Roman"/>
          <w:i/>
        </w:rPr>
        <w:t>Reigado Ramos</w:t>
      </w:r>
      <w:r w:rsidRPr="00D3481F">
        <w:rPr>
          <w:rFonts w:eastAsia="Times New Roman"/>
        </w:rPr>
        <w:t>, précité, § 53). Pour autant, elle ne peut en l</w:t>
      </w:r>
      <w:r w:rsidR="00D3481F" w:rsidRPr="00D3481F">
        <w:rPr>
          <w:rFonts w:eastAsia="Times New Roman"/>
        </w:rPr>
        <w:t>’</w:t>
      </w:r>
      <w:r w:rsidRPr="00D3481F">
        <w:rPr>
          <w:rFonts w:eastAsia="Times New Roman"/>
        </w:rPr>
        <w:t>espèce ignorer les faits précédemment exposés (paragraphes </w:t>
      </w:r>
      <w:r w:rsidRPr="00D3481F">
        <w:rPr>
          <w:rFonts w:eastAsia="Times New Roman"/>
        </w:rPr>
        <w:fldChar w:fldCharType="begin"/>
      </w:r>
      <w:r w:rsidRPr="00D3481F">
        <w:rPr>
          <w:rFonts w:eastAsia="Times New Roman"/>
        </w:rPr>
        <w:instrText xml:space="preserve"> REF paragraph68 \h </w:instrText>
      </w:r>
      <w:r w:rsidRPr="00D3481F">
        <w:rPr>
          <w:rFonts w:eastAsia="Times New Roman"/>
        </w:rPr>
      </w:r>
      <w:r w:rsidRPr="00D3481F">
        <w:rPr>
          <w:rFonts w:eastAsia="Times New Roman"/>
        </w:rPr>
        <w:fldChar w:fldCharType="separate"/>
      </w:r>
      <w:r w:rsidR="00D3481F" w:rsidRPr="00D3481F">
        <w:rPr>
          <w:rFonts w:eastAsia="Times New Roman"/>
          <w:noProof/>
        </w:rPr>
        <w:t>70</w:t>
      </w:r>
      <w:r w:rsidRPr="00D3481F">
        <w:rPr>
          <w:rFonts w:eastAsia="Times New Roman"/>
        </w:rPr>
        <w:fldChar w:fldCharType="end"/>
      </w:r>
      <w:r w:rsidRPr="00D3481F">
        <w:rPr>
          <w:rFonts w:eastAsia="Times New Roman"/>
        </w:rPr>
        <w:t>-</w:t>
      </w:r>
      <w:r w:rsidRPr="00D3481F">
        <w:rPr>
          <w:rFonts w:eastAsia="Times New Roman"/>
        </w:rPr>
        <w:fldChar w:fldCharType="begin"/>
      </w:r>
      <w:r w:rsidRPr="00D3481F">
        <w:rPr>
          <w:rFonts w:eastAsia="Times New Roman"/>
        </w:rPr>
        <w:instrText xml:space="preserve"> REF paragraph76 \h </w:instrText>
      </w:r>
      <w:r w:rsidRPr="00D3481F">
        <w:rPr>
          <w:rFonts w:eastAsia="Times New Roman"/>
        </w:rPr>
      </w:r>
      <w:r w:rsidRPr="00D3481F">
        <w:rPr>
          <w:rFonts w:eastAsia="Times New Roman"/>
        </w:rPr>
        <w:fldChar w:fldCharType="separate"/>
      </w:r>
      <w:r w:rsidR="00D3481F" w:rsidRPr="00D3481F">
        <w:rPr>
          <w:noProof/>
        </w:rPr>
        <w:t>77</w:t>
      </w:r>
      <w:r w:rsidRPr="00D3481F">
        <w:rPr>
          <w:rFonts w:eastAsia="Times New Roman"/>
        </w:rPr>
        <w:fldChar w:fldCharType="end"/>
      </w:r>
      <w:r w:rsidRPr="00D3481F">
        <w:rPr>
          <w:rFonts w:eastAsia="Times New Roman"/>
        </w:rPr>
        <w:t xml:space="preserve"> ci-dessus). En particulier, elle note que le requérant n</w:t>
      </w:r>
      <w:r w:rsidR="00D3481F" w:rsidRPr="00D3481F">
        <w:rPr>
          <w:rFonts w:eastAsia="Times New Roman"/>
        </w:rPr>
        <w:t>’</w:t>
      </w:r>
      <w:r w:rsidRPr="00D3481F">
        <w:rPr>
          <w:rFonts w:eastAsia="Times New Roman"/>
        </w:rPr>
        <w:t>a cessé de tenter d</w:t>
      </w:r>
      <w:r w:rsidR="00D3481F" w:rsidRPr="00D3481F">
        <w:rPr>
          <w:rFonts w:eastAsia="Times New Roman"/>
        </w:rPr>
        <w:t>’</w:t>
      </w:r>
      <w:r w:rsidRPr="00D3481F">
        <w:rPr>
          <w:rFonts w:eastAsia="Times New Roman"/>
        </w:rPr>
        <w:t>établir des contacts avec son fils depuis 2014 et que, malgré les différentes décisions du tribunal pour enfants et de la cour d</w:t>
      </w:r>
      <w:r w:rsidR="00D3481F" w:rsidRPr="00D3481F">
        <w:rPr>
          <w:rFonts w:eastAsia="Times New Roman"/>
        </w:rPr>
        <w:t>’</w:t>
      </w:r>
      <w:r w:rsidRPr="00D3481F">
        <w:rPr>
          <w:rFonts w:eastAsia="Times New Roman"/>
        </w:rPr>
        <w:t>appel, les autorités n</w:t>
      </w:r>
      <w:r w:rsidR="00D3481F" w:rsidRPr="00D3481F">
        <w:rPr>
          <w:rFonts w:eastAsia="Times New Roman"/>
        </w:rPr>
        <w:t>’</w:t>
      </w:r>
      <w:r w:rsidRPr="00D3481F">
        <w:rPr>
          <w:rFonts w:eastAsia="Times New Roman"/>
        </w:rPr>
        <w:t>ont pas trouvé de solution pour lui permettre d</w:t>
      </w:r>
      <w:r w:rsidR="00D3481F" w:rsidRPr="00D3481F">
        <w:rPr>
          <w:rFonts w:eastAsia="Times New Roman"/>
        </w:rPr>
        <w:t>’</w:t>
      </w:r>
      <w:r w:rsidRPr="00D3481F">
        <w:rPr>
          <w:rFonts w:eastAsia="Times New Roman"/>
        </w:rPr>
        <w:t xml:space="preserve">exercer régulièrement son droit de visite. </w:t>
      </w:r>
      <w:r w:rsidRPr="00D3481F">
        <w:t>L</w:t>
      </w:r>
      <w:r w:rsidR="00D3481F" w:rsidRPr="00D3481F">
        <w:t>’</w:t>
      </w:r>
      <w:r w:rsidRPr="00D3481F">
        <w:t>avertissement du tribunal de Venise</w:t>
      </w:r>
      <w:r w:rsidRPr="00D3481F">
        <w:rPr>
          <w:rFonts w:ascii="Times New Roman" w:eastAsia="Times New Roman" w:hAnsi="Times New Roman" w:cs="Times New Roman"/>
        </w:rPr>
        <w:t xml:space="preserve"> n</w:t>
      </w:r>
      <w:r w:rsidR="00D3481F" w:rsidRPr="00D3481F">
        <w:rPr>
          <w:rFonts w:ascii="Times New Roman" w:eastAsia="Times New Roman" w:hAnsi="Times New Roman" w:cs="Times New Roman"/>
        </w:rPr>
        <w:t>’</w:t>
      </w:r>
      <w:r w:rsidRPr="00D3481F">
        <w:rPr>
          <w:rFonts w:ascii="Times New Roman" w:eastAsia="Times New Roman" w:hAnsi="Times New Roman" w:cs="Times New Roman"/>
        </w:rPr>
        <w:t>a eu aucun effet sur L.R., qui a continué à empêcher le requérant d</w:t>
      </w:r>
      <w:r w:rsidR="00D3481F" w:rsidRPr="00D3481F">
        <w:rPr>
          <w:rFonts w:ascii="Times New Roman" w:eastAsia="Times New Roman" w:hAnsi="Times New Roman" w:cs="Times New Roman"/>
        </w:rPr>
        <w:t>’</w:t>
      </w:r>
      <w:r w:rsidRPr="00D3481F">
        <w:rPr>
          <w:rFonts w:ascii="Times New Roman" w:eastAsia="Times New Roman" w:hAnsi="Times New Roman" w:cs="Times New Roman"/>
        </w:rPr>
        <w:t>exercer son droit de visite et a même déménagé à six cents kilomètres de distance sans le consentement de celui-ci et des tribunaux. Ce comportement persiste aujourd</w:t>
      </w:r>
      <w:r w:rsidR="00D3481F" w:rsidRPr="00D3481F">
        <w:rPr>
          <w:rFonts w:ascii="Times New Roman" w:eastAsia="Times New Roman" w:hAnsi="Times New Roman" w:cs="Times New Roman"/>
        </w:rPr>
        <w:t>’</w:t>
      </w:r>
      <w:r w:rsidRPr="00D3481F">
        <w:rPr>
          <w:rFonts w:ascii="Times New Roman" w:eastAsia="Times New Roman" w:hAnsi="Times New Roman" w:cs="Times New Roman"/>
        </w:rPr>
        <w:t>hui en dépit d</w:t>
      </w:r>
      <w:r w:rsidR="00D3481F" w:rsidRPr="00D3481F">
        <w:rPr>
          <w:rFonts w:ascii="Times New Roman" w:eastAsia="Times New Roman" w:hAnsi="Times New Roman" w:cs="Times New Roman"/>
        </w:rPr>
        <w:t>’</w:t>
      </w:r>
      <w:r w:rsidRPr="00D3481F">
        <w:rPr>
          <w:rFonts w:ascii="Times New Roman" w:eastAsia="Times New Roman" w:hAnsi="Times New Roman" w:cs="Times New Roman"/>
        </w:rPr>
        <w:t>une nouvelle décision du tribunal pour enfants et de la condamnation pénale prononcée contre la requérante pour soustraction de mineur.</w:t>
      </w:r>
    </w:p>
    <w:p w:rsidR="007F7726" w:rsidRPr="00D3481F" w:rsidRDefault="007F7726" w:rsidP="00D3481F">
      <w:pPr>
        <w:pStyle w:val="JuPara"/>
        <w:rPr>
          <w:rFonts w:eastAsia="Times New Roman"/>
        </w:rPr>
      </w:pPr>
      <w:r w:rsidRPr="00D3481F">
        <w:rPr>
          <w:rFonts w:eastAsia="Times New Roman"/>
        </w:rPr>
        <w:fldChar w:fldCharType="begin"/>
      </w:r>
      <w:r w:rsidRPr="00D3481F">
        <w:rPr>
          <w:rFonts w:eastAsia="Times New Roman"/>
        </w:rPr>
        <w:instrText xml:space="preserve"> SEQ level0 \*arabic </w:instrText>
      </w:r>
      <w:r w:rsidRPr="00D3481F">
        <w:rPr>
          <w:rFonts w:eastAsia="Times New Roman"/>
        </w:rPr>
        <w:fldChar w:fldCharType="separate"/>
      </w:r>
      <w:r w:rsidR="00D3481F" w:rsidRPr="00D3481F">
        <w:rPr>
          <w:rFonts w:eastAsia="Times New Roman"/>
          <w:noProof/>
        </w:rPr>
        <w:t>79</w:t>
      </w:r>
      <w:r w:rsidRPr="00D3481F">
        <w:rPr>
          <w:rFonts w:eastAsia="Times New Roman"/>
        </w:rPr>
        <w:fldChar w:fldCharType="end"/>
      </w:r>
      <w:r w:rsidRPr="00D3481F">
        <w:rPr>
          <w:rFonts w:eastAsia="Times New Roman"/>
        </w:rPr>
        <w:t>.  Certes, la Cour reconnaît que les autorités étaient confrontées en l</w:t>
      </w:r>
      <w:r w:rsidR="00D3481F" w:rsidRPr="00D3481F">
        <w:rPr>
          <w:rFonts w:eastAsia="Times New Roman"/>
        </w:rPr>
        <w:t>’</w:t>
      </w:r>
      <w:r w:rsidRPr="00D3481F">
        <w:rPr>
          <w:rFonts w:eastAsia="Times New Roman"/>
        </w:rPr>
        <w:t>espèce à une situation très difficile qui découlait notamment des tensions existantes entre les parents de l</w:t>
      </w:r>
      <w:r w:rsidR="00D3481F" w:rsidRPr="00D3481F">
        <w:rPr>
          <w:rFonts w:eastAsia="Times New Roman"/>
        </w:rPr>
        <w:t>’</w:t>
      </w:r>
      <w:r w:rsidRPr="00D3481F">
        <w:rPr>
          <w:rFonts w:eastAsia="Times New Roman"/>
        </w:rPr>
        <w:t>enfant. Elle admet que l</w:t>
      </w:r>
      <w:r w:rsidR="00D3481F" w:rsidRPr="00D3481F">
        <w:rPr>
          <w:rFonts w:eastAsia="Times New Roman"/>
        </w:rPr>
        <w:t>’</w:t>
      </w:r>
      <w:r w:rsidRPr="00D3481F">
        <w:rPr>
          <w:rFonts w:eastAsia="Times New Roman"/>
        </w:rPr>
        <w:t>impossibilité pour le requérant d</w:t>
      </w:r>
      <w:r w:rsidR="00D3481F" w:rsidRPr="00D3481F">
        <w:rPr>
          <w:rFonts w:eastAsia="Times New Roman"/>
        </w:rPr>
        <w:t>’</w:t>
      </w:r>
      <w:r w:rsidRPr="00D3481F">
        <w:rPr>
          <w:rFonts w:eastAsia="Times New Roman"/>
        </w:rPr>
        <w:t>exercer son droit de visite était au départ surtout imputable au refus manifeste de la mère de l</w:t>
      </w:r>
      <w:r w:rsidR="00D3481F" w:rsidRPr="00D3481F">
        <w:rPr>
          <w:rFonts w:eastAsia="Times New Roman"/>
        </w:rPr>
        <w:t>’</w:t>
      </w:r>
      <w:r w:rsidRPr="00D3481F">
        <w:rPr>
          <w:rFonts w:eastAsia="Times New Roman"/>
        </w:rPr>
        <w:t>enfant, puis au refus de l</w:t>
      </w:r>
      <w:r w:rsidR="00D3481F" w:rsidRPr="00D3481F">
        <w:rPr>
          <w:rFonts w:eastAsia="Times New Roman"/>
        </w:rPr>
        <w:t>’</w:t>
      </w:r>
      <w:r w:rsidRPr="00D3481F">
        <w:rPr>
          <w:rFonts w:eastAsia="Times New Roman"/>
        </w:rPr>
        <w:t>enfant et à la distance entre le lieu de résidence de l</w:t>
      </w:r>
      <w:r w:rsidR="00D3481F" w:rsidRPr="00D3481F">
        <w:rPr>
          <w:rFonts w:eastAsia="Times New Roman"/>
        </w:rPr>
        <w:t>’</w:t>
      </w:r>
      <w:r w:rsidRPr="00D3481F">
        <w:rPr>
          <w:rFonts w:eastAsia="Times New Roman"/>
        </w:rPr>
        <w:t>enfant et celui du requérant. Elle rappelle cependant qu</w:t>
      </w:r>
      <w:r w:rsidR="00D3481F" w:rsidRPr="00D3481F">
        <w:rPr>
          <w:rFonts w:eastAsia="Times New Roman"/>
        </w:rPr>
        <w:t>’</w:t>
      </w:r>
      <w:r w:rsidRPr="00D3481F">
        <w:rPr>
          <w:rFonts w:eastAsia="Times New Roman"/>
        </w:rPr>
        <w:t xml:space="preserve">un manque de coopération entre les parents séparés ne peut dispenser les autorités compétentes de mettre en œuvre tous les </w:t>
      </w:r>
      <w:r w:rsidRPr="00D3481F">
        <w:rPr>
          <w:rFonts w:eastAsia="Times New Roman"/>
        </w:rPr>
        <w:lastRenderedPageBreak/>
        <w:t>moyens susceptibles de permettre le maintien du lien familial (</w:t>
      </w:r>
      <w:r w:rsidRPr="00D3481F">
        <w:rPr>
          <w:rFonts w:eastAsia="Times New Roman"/>
          <w:i/>
        </w:rPr>
        <w:t>Nicolò Santilli</w:t>
      </w:r>
      <w:r w:rsidRPr="00D3481F">
        <w:rPr>
          <w:rFonts w:eastAsia="Times New Roman"/>
        </w:rPr>
        <w:t xml:space="preserve">, § 74, </w:t>
      </w:r>
      <w:r w:rsidRPr="00D3481F">
        <w:rPr>
          <w:rFonts w:eastAsia="Times New Roman"/>
          <w:i/>
        </w:rPr>
        <w:t>Lombardo</w:t>
      </w:r>
      <w:r w:rsidRPr="00D3481F">
        <w:rPr>
          <w:rFonts w:eastAsia="Times New Roman"/>
        </w:rPr>
        <w:t xml:space="preserve">, § 91, et </w:t>
      </w:r>
      <w:r w:rsidRPr="00D3481F">
        <w:rPr>
          <w:rFonts w:eastAsia="Times New Roman"/>
          <w:i/>
        </w:rPr>
        <w:t>Zavřel</w:t>
      </w:r>
      <w:r w:rsidRPr="00D3481F">
        <w:rPr>
          <w:rFonts w:eastAsia="Times New Roman"/>
        </w:rPr>
        <w:t>,</w:t>
      </w:r>
      <w:r w:rsidRPr="00D3481F">
        <w:rPr>
          <w:rFonts w:eastAsia="Times New Roman"/>
          <w:i/>
        </w:rPr>
        <w:t xml:space="preserve"> </w:t>
      </w:r>
      <w:r w:rsidRPr="00D3481F">
        <w:rPr>
          <w:rFonts w:eastAsia="Times New Roman"/>
        </w:rPr>
        <w:t xml:space="preserve">§ 52, </w:t>
      </w:r>
      <w:r w:rsidRPr="00D3481F">
        <w:rPr>
          <w:rFonts w:eastAsia="Times New Roman"/>
          <w:iCs/>
        </w:rPr>
        <w:t xml:space="preserve">tous </w:t>
      </w:r>
      <w:r w:rsidRPr="00D3481F">
        <w:rPr>
          <w:rFonts w:eastAsia="Times New Roman"/>
        </w:rPr>
        <w:t>précités).</w:t>
      </w:r>
    </w:p>
    <w:p w:rsidR="007F7726" w:rsidRPr="00D3481F" w:rsidRDefault="007F7726" w:rsidP="00D3481F">
      <w:pPr>
        <w:pStyle w:val="JuPara"/>
        <w:rPr>
          <w:rFonts w:eastAsia="Calibri"/>
        </w:rPr>
      </w:pPr>
      <w:r w:rsidRPr="00D3481F">
        <w:rPr>
          <w:rFonts w:eastAsia="Calibri"/>
        </w:rPr>
        <w:fldChar w:fldCharType="begin"/>
      </w:r>
      <w:r w:rsidRPr="00D3481F">
        <w:rPr>
          <w:rFonts w:eastAsia="Calibri"/>
        </w:rPr>
        <w:instrText xml:space="preserve"> SEQ level0 \*arabic </w:instrText>
      </w:r>
      <w:r w:rsidRPr="00D3481F">
        <w:rPr>
          <w:rFonts w:eastAsia="Calibri"/>
        </w:rPr>
        <w:fldChar w:fldCharType="separate"/>
      </w:r>
      <w:r w:rsidR="00D3481F" w:rsidRPr="00D3481F">
        <w:rPr>
          <w:rFonts w:eastAsia="Calibri"/>
          <w:noProof/>
        </w:rPr>
        <w:t>80</w:t>
      </w:r>
      <w:r w:rsidRPr="00D3481F">
        <w:rPr>
          <w:rFonts w:eastAsia="Calibri"/>
        </w:rPr>
        <w:fldChar w:fldCharType="end"/>
      </w:r>
      <w:r w:rsidRPr="00D3481F">
        <w:rPr>
          <w:rFonts w:eastAsia="Calibri"/>
        </w:rPr>
        <w:t>.  La Cour considère que les autorités n</w:t>
      </w:r>
      <w:r w:rsidR="00D3481F" w:rsidRPr="00D3481F">
        <w:rPr>
          <w:rFonts w:eastAsia="Calibri"/>
        </w:rPr>
        <w:t>’</w:t>
      </w:r>
      <w:r w:rsidRPr="00D3481F">
        <w:rPr>
          <w:rFonts w:eastAsia="Calibri"/>
        </w:rPr>
        <w:t>ont pas fait preuve de la diligence qui s</w:t>
      </w:r>
      <w:r w:rsidR="00D3481F" w:rsidRPr="00D3481F">
        <w:rPr>
          <w:rFonts w:eastAsia="Calibri"/>
        </w:rPr>
        <w:t>’</w:t>
      </w:r>
      <w:r w:rsidRPr="00D3481F">
        <w:rPr>
          <w:rFonts w:eastAsia="Calibri"/>
        </w:rPr>
        <w:t>imposait en l</w:t>
      </w:r>
      <w:r w:rsidR="00D3481F" w:rsidRPr="00D3481F">
        <w:rPr>
          <w:rFonts w:eastAsia="Calibri"/>
        </w:rPr>
        <w:t>’</w:t>
      </w:r>
      <w:r w:rsidRPr="00D3481F">
        <w:rPr>
          <w:rFonts w:eastAsia="Calibri"/>
        </w:rPr>
        <w:t>espèce et qu</w:t>
      </w:r>
      <w:r w:rsidR="00D3481F" w:rsidRPr="00D3481F">
        <w:rPr>
          <w:rFonts w:eastAsia="Calibri"/>
        </w:rPr>
        <w:t>’</w:t>
      </w:r>
      <w:r w:rsidRPr="00D3481F">
        <w:rPr>
          <w:rFonts w:eastAsia="Calibri"/>
        </w:rPr>
        <w:t>elles sont restées en deçà de ce que l</w:t>
      </w:r>
      <w:r w:rsidR="00D3481F" w:rsidRPr="00D3481F">
        <w:rPr>
          <w:rFonts w:eastAsia="Calibri"/>
        </w:rPr>
        <w:t>’</w:t>
      </w:r>
      <w:r w:rsidRPr="00D3481F">
        <w:rPr>
          <w:rFonts w:eastAsia="Calibri"/>
        </w:rPr>
        <w:t>on pouvait raisonnablement attendre d</w:t>
      </w:r>
      <w:r w:rsidR="00D3481F" w:rsidRPr="00D3481F">
        <w:rPr>
          <w:rFonts w:eastAsia="Calibri"/>
        </w:rPr>
        <w:t>’</w:t>
      </w:r>
      <w:r w:rsidRPr="00D3481F">
        <w:rPr>
          <w:rFonts w:eastAsia="Calibri"/>
        </w:rPr>
        <w:t>elles. Elle estime en particulier que les juridictions internes n</w:t>
      </w:r>
      <w:r w:rsidR="00D3481F" w:rsidRPr="00D3481F">
        <w:rPr>
          <w:rFonts w:eastAsia="Calibri"/>
        </w:rPr>
        <w:t>’</w:t>
      </w:r>
      <w:r w:rsidRPr="00D3481F">
        <w:rPr>
          <w:rFonts w:eastAsia="Calibri"/>
        </w:rPr>
        <w:t>ont pas pris les mesures appropriées pour créer les conditions nécessaires à la pleine réalisation du droit de visite du père de l</w:t>
      </w:r>
      <w:r w:rsidR="00D3481F" w:rsidRPr="00D3481F">
        <w:rPr>
          <w:rFonts w:eastAsia="Calibri"/>
        </w:rPr>
        <w:t>’</w:t>
      </w:r>
      <w:r w:rsidRPr="00D3481F">
        <w:rPr>
          <w:rFonts w:eastAsia="Calibri"/>
        </w:rPr>
        <w:t>enfant (</w:t>
      </w:r>
      <w:r w:rsidRPr="00D3481F">
        <w:rPr>
          <w:rFonts w:eastAsia="Calibri"/>
          <w:i/>
          <w:iCs/>
        </w:rPr>
        <w:t>Bondavalli</w:t>
      </w:r>
      <w:r w:rsidRPr="00D3481F">
        <w:rPr>
          <w:rFonts w:eastAsia="Calibri"/>
        </w:rPr>
        <w:t xml:space="preserve">, § 81, </w:t>
      </w:r>
      <w:r w:rsidRPr="00D3481F">
        <w:rPr>
          <w:rFonts w:eastAsia="Calibri"/>
          <w:i/>
          <w:iCs/>
        </w:rPr>
        <w:t>Macready</w:t>
      </w:r>
      <w:r w:rsidRPr="00D3481F">
        <w:rPr>
          <w:rFonts w:eastAsia="Calibri"/>
        </w:rPr>
        <w:t xml:space="preserve">, § 66, </w:t>
      </w:r>
      <w:r w:rsidRPr="00D3481F">
        <w:rPr>
          <w:rFonts w:eastAsia="Calibri"/>
          <w:i/>
          <w:iCs/>
        </w:rPr>
        <w:t>Piazzi</w:t>
      </w:r>
      <w:r w:rsidRPr="00D3481F">
        <w:rPr>
          <w:rFonts w:eastAsia="Calibri"/>
        </w:rPr>
        <w:t xml:space="preserve">, § 61, et </w:t>
      </w:r>
      <w:r w:rsidRPr="00D3481F">
        <w:rPr>
          <w:rFonts w:eastAsia="Calibri"/>
          <w:i/>
          <w:iCs/>
        </w:rPr>
        <w:t>Strumia</w:t>
      </w:r>
      <w:r w:rsidRPr="00D3481F">
        <w:rPr>
          <w:rFonts w:eastAsia="Calibri"/>
        </w:rPr>
        <w:t>, §</w:t>
      </w:r>
      <w:r w:rsidR="004F3F90" w:rsidRPr="00D3481F">
        <w:rPr>
          <w:rFonts w:eastAsia="Calibri"/>
        </w:rPr>
        <w:t> </w:t>
      </w:r>
      <w:r w:rsidRPr="00D3481F">
        <w:rPr>
          <w:rFonts w:eastAsia="Calibri"/>
        </w:rPr>
        <w:t>122 tous précités). Elle constate notamment que les services sociaux de Rome, nonobstant les décisions judiciaires ordonnant l</w:t>
      </w:r>
      <w:r w:rsidR="00D3481F" w:rsidRPr="00D3481F">
        <w:rPr>
          <w:rFonts w:eastAsia="Calibri"/>
        </w:rPr>
        <w:t>’</w:t>
      </w:r>
      <w:r w:rsidRPr="00D3481F">
        <w:rPr>
          <w:rFonts w:eastAsia="Calibri"/>
        </w:rPr>
        <w:t>organisation des rencontres</w:t>
      </w:r>
      <w:r w:rsidR="00187B9F" w:rsidRPr="00D3481F">
        <w:rPr>
          <w:rFonts w:eastAsia="Calibri"/>
        </w:rPr>
        <w:t xml:space="preserve">, </w:t>
      </w:r>
      <w:r w:rsidRPr="00D3481F">
        <w:rPr>
          <w:rFonts w:eastAsia="Calibri"/>
        </w:rPr>
        <w:t xml:space="preserve">sont intervenus très tardivement (paragraphes </w:t>
      </w:r>
      <w:r w:rsidRPr="00D3481F">
        <w:rPr>
          <w:rFonts w:ascii="Times New Roman" w:eastAsia="Calibri" w:hAnsi="Times New Roman" w:cs="Times New Roman"/>
          <w:color w:val="000000"/>
        </w:rPr>
        <w:t>27</w:t>
      </w:r>
      <w:r w:rsidRPr="00D3481F">
        <w:rPr>
          <w:rFonts w:eastAsia="Calibri"/>
        </w:rPr>
        <w:t>-</w:t>
      </w:r>
      <w:r w:rsidRPr="00D3481F">
        <w:rPr>
          <w:rFonts w:ascii="Times New Roman" w:eastAsia="Calibri" w:hAnsi="Times New Roman" w:cs="Times New Roman"/>
          <w:color w:val="000000"/>
        </w:rPr>
        <w:t>33</w:t>
      </w:r>
      <w:r w:rsidRPr="00D3481F">
        <w:rPr>
          <w:rFonts w:eastAsia="Calibri"/>
        </w:rPr>
        <w:t xml:space="preserve"> ci-dessus), qu</w:t>
      </w:r>
      <w:r w:rsidR="00D3481F" w:rsidRPr="00D3481F">
        <w:rPr>
          <w:rFonts w:eastAsia="Calibri"/>
        </w:rPr>
        <w:t>’</w:t>
      </w:r>
      <w:r w:rsidRPr="00D3481F">
        <w:rPr>
          <w:rFonts w:eastAsia="Calibri"/>
        </w:rPr>
        <w:t>ils ont organisé une seule visite et qu</w:t>
      </w:r>
      <w:r w:rsidR="00D3481F" w:rsidRPr="00D3481F">
        <w:rPr>
          <w:rFonts w:eastAsia="Calibri"/>
        </w:rPr>
        <w:t>’</w:t>
      </w:r>
      <w:r w:rsidRPr="00D3481F">
        <w:rPr>
          <w:rFonts w:eastAsia="Calibri"/>
        </w:rPr>
        <w:t>ils n</w:t>
      </w:r>
      <w:r w:rsidR="00D3481F" w:rsidRPr="00D3481F">
        <w:rPr>
          <w:rFonts w:eastAsia="Calibri"/>
        </w:rPr>
        <w:t>’</w:t>
      </w:r>
      <w:r w:rsidRPr="00D3481F">
        <w:rPr>
          <w:rFonts w:eastAsia="Calibri"/>
        </w:rPr>
        <w:t>ont pas tenu le requérant informé de la situation de son fils.</w:t>
      </w:r>
    </w:p>
    <w:p w:rsidR="007F7726" w:rsidRPr="00D3481F" w:rsidRDefault="007F7726" w:rsidP="00D3481F">
      <w:pPr>
        <w:pStyle w:val="JuPara"/>
        <w:rPr>
          <w:rFonts w:eastAsia="Calibri"/>
          <w:b/>
          <w:bCs/>
        </w:rPr>
      </w:pPr>
      <w:r w:rsidRPr="00D3481F">
        <w:rPr>
          <w:rFonts w:eastAsia="Calibri"/>
        </w:rPr>
        <w:fldChar w:fldCharType="begin"/>
      </w:r>
      <w:r w:rsidRPr="00D3481F">
        <w:rPr>
          <w:rFonts w:eastAsia="Calibri"/>
        </w:rPr>
        <w:instrText xml:space="preserve"> SEQ level0 \*arabic </w:instrText>
      </w:r>
      <w:r w:rsidRPr="00D3481F">
        <w:rPr>
          <w:rFonts w:eastAsia="Calibri"/>
        </w:rPr>
        <w:fldChar w:fldCharType="separate"/>
      </w:r>
      <w:r w:rsidR="00D3481F" w:rsidRPr="00D3481F">
        <w:rPr>
          <w:rFonts w:eastAsia="Calibri"/>
          <w:noProof/>
        </w:rPr>
        <w:t>81</w:t>
      </w:r>
      <w:r w:rsidRPr="00D3481F">
        <w:rPr>
          <w:rFonts w:eastAsia="Calibri"/>
        </w:rPr>
        <w:fldChar w:fldCharType="end"/>
      </w:r>
      <w:r w:rsidRPr="00D3481F">
        <w:rPr>
          <w:rFonts w:eastAsia="Calibri"/>
        </w:rPr>
        <w:t>.  La Cour considère que, dès la séparation des parents, alors que l</w:t>
      </w:r>
      <w:r w:rsidR="00D3481F" w:rsidRPr="00D3481F">
        <w:rPr>
          <w:rFonts w:eastAsia="Calibri"/>
        </w:rPr>
        <w:t>’</w:t>
      </w:r>
      <w:r w:rsidRPr="00D3481F">
        <w:rPr>
          <w:rFonts w:eastAsia="Calibri"/>
        </w:rPr>
        <w:t>enfant n</w:t>
      </w:r>
      <w:r w:rsidR="00D3481F" w:rsidRPr="00D3481F">
        <w:rPr>
          <w:rFonts w:eastAsia="Calibri"/>
        </w:rPr>
        <w:t>’</w:t>
      </w:r>
      <w:r w:rsidRPr="00D3481F">
        <w:rPr>
          <w:rFonts w:eastAsia="Calibri"/>
        </w:rPr>
        <w:t>avait qu</w:t>
      </w:r>
      <w:r w:rsidR="00D3481F" w:rsidRPr="00D3481F">
        <w:rPr>
          <w:rFonts w:eastAsia="Calibri"/>
        </w:rPr>
        <w:t>’</w:t>
      </w:r>
      <w:r w:rsidRPr="00D3481F">
        <w:rPr>
          <w:rFonts w:eastAsia="Calibri"/>
        </w:rPr>
        <w:t>un an, les juridictions internes ont omis de prendre des mesures concrètes et utiles de nature à permettre l</w:t>
      </w:r>
      <w:r w:rsidR="00D3481F" w:rsidRPr="00D3481F">
        <w:rPr>
          <w:rFonts w:eastAsia="Calibri"/>
        </w:rPr>
        <w:t>’</w:t>
      </w:r>
      <w:r w:rsidRPr="00D3481F">
        <w:rPr>
          <w:rFonts w:eastAsia="Calibri"/>
        </w:rPr>
        <w:t>instauration de contacts effectifs, et elle constate qu</w:t>
      </w:r>
      <w:r w:rsidR="00D3481F" w:rsidRPr="00D3481F">
        <w:rPr>
          <w:rFonts w:eastAsia="Calibri"/>
        </w:rPr>
        <w:t>’</w:t>
      </w:r>
      <w:r w:rsidRPr="00D3481F">
        <w:rPr>
          <w:rFonts w:eastAsia="Calibri"/>
        </w:rPr>
        <w:t>elles ont ensuite toléré pendant environ sept ans que la mère, par son comportement, empêchât l</w:t>
      </w:r>
      <w:r w:rsidR="00D3481F" w:rsidRPr="00D3481F">
        <w:rPr>
          <w:rFonts w:eastAsia="Calibri"/>
        </w:rPr>
        <w:t>’</w:t>
      </w:r>
      <w:r w:rsidRPr="00D3481F">
        <w:rPr>
          <w:rFonts w:eastAsia="Calibri"/>
        </w:rPr>
        <w:t>établissement d</w:t>
      </w:r>
      <w:r w:rsidR="00D3481F" w:rsidRPr="00D3481F">
        <w:rPr>
          <w:rFonts w:eastAsia="Calibri"/>
        </w:rPr>
        <w:t>’</w:t>
      </w:r>
      <w:r w:rsidRPr="00D3481F">
        <w:rPr>
          <w:rFonts w:eastAsia="Calibri"/>
        </w:rPr>
        <w:t>une véritable relation entre le requérant et l</w:t>
      </w:r>
      <w:r w:rsidR="00D3481F" w:rsidRPr="00D3481F">
        <w:rPr>
          <w:rFonts w:eastAsia="Calibri"/>
        </w:rPr>
        <w:t>’</w:t>
      </w:r>
      <w:r w:rsidRPr="00D3481F">
        <w:rPr>
          <w:rFonts w:eastAsia="Calibri"/>
        </w:rPr>
        <w:t>enfant. Elle relève que le déroulement de la procédure devant le tribunal fait plutôt apparaître une série de mesures automatiques et stéréotypées, telles que des demandes successives de renseignements ou une délégation du suivi de la famille aux services sociaux, assortie de l</w:t>
      </w:r>
      <w:r w:rsidR="00D3481F" w:rsidRPr="00D3481F">
        <w:rPr>
          <w:rFonts w:eastAsia="Calibri"/>
        </w:rPr>
        <w:t>’</w:t>
      </w:r>
      <w:r w:rsidRPr="00D3481F">
        <w:rPr>
          <w:rFonts w:eastAsia="Calibri"/>
        </w:rPr>
        <w:t>obligation pour ceux-ci d</w:t>
      </w:r>
      <w:r w:rsidR="00D3481F" w:rsidRPr="00D3481F">
        <w:rPr>
          <w:rFonts w:eastAsia="Calibri"/>
        </w:rPr>
        <w:t>’</w:t>
      </w:r>
      <w:r w:rsidRPr="00D3481F">
        <w:rPr>
          <w:rFonts w:eastAsia="Calibri"/>
        </w:rPr>
        <w:t>organiser et de faire respecter le droit de visite du requérant (</w:t>
      </w:r>
      <w:r w:rsidRPr="00D3481F">
        <w:rPr>
          <w:rFonts w:eastAsia="Calibri"/>
          <w:i/>
          <w:iCs/>
        </w:rPr>
        <w:t>Lombardo</w:t>
      </w:r>
      <w:r w:rsidRPr="00D3481F">
        <w:rPr>
          <w:rFonts w:eastAsia="Calibri"/>
        </w:rPr>
        <w:t xml:space="preserve">, précité, § 92, et </w:t>
      </w:r>
      <w:r w:rsidRPr="00D3481F">
        <w:rPr>
          <w:rFonts w:eastAsia="Calibri"/>
          <w:i/>
          <w:iCs/>
        </w:rPr>
        <w:t>Piazzi</w:t>
      </w:r>
      <w:r w:rsidRPr="00D3481F">
        <w:rPr>
          <w:rFonts w:eastAsia="Calibri"/>
        </w:rPr>
        <w:t>, précité, § 61). Les services sociaux, de leur côté, ont agi avec retard et n</w:t>
      </w:r>
      <w:r w:rsidR="00D3481F" w:rsidRPr="00D3481F">
        <w:rPr>
          <w:rFonts w:eastAsia="Calibri"/>
        </w:rPr>
        <w:t>’</w:t>
      </w:r>
      <w:r w:rsidRPr="00D3481F">
        <w:rPr>
          <w:rFonts w:eastAsia="Calibri"/>
        </w:rPr>
        <w:t>ont pas correctement exécuté les décisions judiciaires.</w:t>
      </w:r>
    </w:p>
    <w:p w:rsidR="007F7726" w:rsidRPr="00D3481F" w:rsidRDefault="007F7726" w:rsidP="00D3481F">
      <w:pPr>
        <w:pStyle w:val="JuPara"/>
      </w:pPr>
      <w:r w:rsidRPr="00D3481F">
        <w:fldChar w:fldCharType="begin"/>
      </w:r>
      <w:r w:rsidRPr="00D3481F">
        <w:instrText xml:space="preserve"> SEQ level0 \*arabic </w:instrText>
      </w:r>
      <w:r w:rsidRPr="00D3481F">
        <w:fldChar w:fldCharType="separate"/>
      </w:r>
      <w:r w:rsidR="00D3481F" w:rsidRPr="00D3481F">
        <w:rPr>
          <w:noProof/>
        </w:rPr>
        <w:t>82</w:t>
      </w:r>
      <w:r w:rsidRPr="00D3481F">
        <w:fldChar w:fldCharType="end"/>
      </w:r>
      <w:r w:rsidRPr="00D3481F">
        <w:t>.  La Cour remarque que les services sociaux n</w:t>
      </w:r>
      <w:r w:rsidR="00D3481F" w:rsidRPr="00D3481F">
        <w:t>’</w:t>
      </w:r>
      <w:r w:rsidRPr="00D3481F">
        <w:t>ont pas organisé les rencontres pendant la première période de confinement et bien au-delà (paragraphe 38 ci-dessus) alors que les déplacements motivés par l</w:t>
      </w:r>
      <w:r w:rsidR="00D3481F" w:rsidRPr="00D3481F">
        <w:t>’</w:t>
      </w:r>
      <w:r w:rsidRPr="00D3481F">
        <w:t>exercice d</w:t>
      </w:r>
      <w:r w:rsidR="00D3481F" w:rsidRPr="00D3481F">
        <w:t>’</w:t>
      </w:r>
      <w:r w:rsidRPr="00D3481F">
        <w:t>un droit de visite et d</w:t>
      </w:r>
      <w:r w:rsidR="00D3481F" w:rsidRPr="00D3481F">
        <w:t>’</w:t>
      </w:r>
      <w:r w:rsidRPr="00D3481F">
        <w:t>hébergement étaient autorisés (paragraphes 45-46 ci-dessus). Or bien que l</w:t>
      </w:r>
      <w:r w:rsidR="00D3481F" w:rsidRPr="00D3481F">
        <w:t>’</w:t>
      </w:r>
      <w:r w:rsidRPr="00D3481F">
        <w:t>arsenal juridique prévu par le droit italien semble suffisant, aux yeux de la Cour, pour permettre à l</w:t>
      </w:r>
      <w:r w:rsidR="00D3481F" w:rsidRPr="00D3481F">
        <w:t>’</w:t>
      </w:r>
      <w:r w:rsidRPr="00D3481F">
        <w:t>État défendeur d</w:t>
      </w:r>
      <w:r w:rsidR="00D3481F" w:rsidRPr="00D3481F">
        <w:t>’</w:t>
      </w:r>
      <w:r w:rsidRPr="00D3481F">
        <w:t>assurer en abstrait le respect des obligations positives qui découlent pour lui de l</w:t>
      </w:r>
      <w:r w:rsidR="00D3481F" w:rsidRPr="00D3481F">
        <w:t>’</w:t>
      </w:r>
      <w:r w:rsidRPr="00D3481F">
        <w:t>article 8 de la Convention, force est de constater en l</w:t>
      </w:r>
      <w:r w:rsidR="00D3481F" w:rsidRPr="00D3481F">
        <w:t>’</w:t>
      </w:r>
      <w:r w:rsidRPr="00D3481F">
        <w:t>occurrence que les autorités n</w:t>
      </w:r>
      <w:r w:rsidR="00D3481F" w:rsidRPr="00D3481F">
        <w:t>’</w:t>
      </w:r>
      <w:r w:rsidRPr="00D3481F">
        <w:t>ont pas utilisé les instruments juridiques existants et n</w:t>
      </w:r>
      <w:r w:rsidR="00D3481F" w:rsidRPr="00D3481F">
        <w:t>’</w:t>
      </w:r>
      <w:r w:rsidRPr="00D3481F">
        <w:t>ont entrepris aucune action à l</w:t>
      </w:r>
      <w:r w:rsidR="00D3481F" w:rsidRPr="00D3481F">
        <w:t>’</w:t>
      </w:r>
      <w:r w:rsidRPr="00D3481F">
        <w:t>égard de L.R., lui laissant de surcroît la possibilité de déménager avec son fils pour s</w:t>
      </w:r>
      <w:r w:rsidR="00D3481F" w:rsidRPr="00D3481F">
        <w:t>’</w:t>
      </w:r>
      <w:r w:rsidRPr="00D3481F">
        <w:t>installer à six cents kilomètres du domicile du requérant sans le consentement de celui-ci et contre la décision de la cour d</w:t>
      </w:r>
      <w:r w:rsidR="00D3481F" w:rsidRPr="00D3481F">
        <w:t>’</w:t>
      </w:r>
      <w:r w:rsidRPr="00D3481F">
        <w:t>appel ; en particulier, L.R. a agi de la sorte sans avoir convenu au préalable avec le requérant d</w:t>
      </w:r>
      <w:r w:rsidR="00D3481F" w:rsidRPr="00D3481F">
        <w:t>’</w:t>
      </w:r>
      <w:r w:rsidRPr="00D3481F">
        <w:t>un projet de coparentalité ou sans avoir soumis ledit projet aux juridictions pour approbation. Après cela, les autorités n</w:t>
      </w:r>
      <w:r w:rsidR="00D3481F" w:rsidRPr="00D3481F">
        <w:t>’</w:t>
      </w:r>
      <w:r w:rsidRPr="00D3481F">
        <w:t>ont pas exécuté les précédentes décisions du tribunal de Trévise et de la cour d</w:t>
      </w:r>
      <w:r w:rsidR="00D3481F" w:rsidRPr="00D3481F">
        <w:t>’</w:t>
      </w:r>
      <w:r w:rsidRPr="00D3481F">
        <w:t xml:space="preserve">appel de Venise qui accordaient un droit de visite au requérant. En outre, la Cour note que L.R. a été condamnée à un an et huit </w:t>
      </w:r>
      <w:r w:rsidRPr="00D3481F">
        <w:lastRenderedPageBreak/>
        <w:t>mois d</w:t>
      </w:r>
      <w:r w:rsidR="00D3481F" w:rsidRPr="00D3481F">
        <w:t>’</w:t>
      </w:r>
      <w:r w:rsidRPr="00D3481F">
        <w:t>emprisonnement pour soustraction d</w:t>
      </w:r>
      <w:r w:rsidR="00D3481F" w:rsidRPr="00D3481F">
        <w:t>’</w:t>
      </w:r>
      <w:r w:rsidRPr="00D3481F">
        <w:t>enfant, mais cela n</w:t>
      </w:r>
      <w:r w:rsidR="00D3481F" w:rsidRPr="00D3481F">
        <w:t>’</w:t>
      </w:r>
      <w:r w:rsidRPr="00D3481F">
        <w:t>a pas changé la situation du requérant qui continuait à ne pas avoir accès à l</w:t>
      </w:r>
      <w:r w:rsidR="00D3481F" w:rsidRPr="00D3481F">
        <w:t>’</w:t>
      </w:r>
      <w:r w:rsidRPr="00D3481F">
        <w:t>enfant</w:t>
      </w:r>
      <w:r w:rsidRPr="00D3481F">
        <w:rPr>
          <w:b/>
          <w:bCs/>
        </w:rPr>
        <w:t>.</w:t>
      </w:r>
      <w:r w:rsidRPr="00D3481F">
        <w:t xml:space="preserve"> Aussi la Cour estime-t-elle que les autorités </w:t>
      </w:r>
      <w:proofErr w:type="gramStart"/>
      <w:r w:rsidRPr="00D3481F">
        <w:t>ont</w:t>
      </w:r>
      <w:proofErr w:type="gramEnd"/>
      <w:r w:rsidRPr="00D3481F">
        <w:t xml:space="preserve"> laissé s</w:t>
      </w:r>
      <w:r w:rsidR="00D3481F" w:rsidRPr="00D3481F">
        <w:t>’</w:t>
      </w:r>
      <w:r w:rsidRPr="00D3481F">
        <w:t>enraciner une situation qui s</w:t>
      </w:r>
      <w:r w:rsidR="00D3481F" w:rsidRPr="00D3481F">
        <w:t>’</w:t>
      </w:r>
      <w:r w:rsidRPr="00D3481F">
        <w:t>est de fait installée au mépris des décisions judiciaires (</w:t>
      </w:r>
      <w:r w:rsidRPr="00D3481F">
        <w:rPr>
          <w:i/>
          <w:iCs/>
        </w:rPr>
        <w:t>K.B. et autres c. Croatie,</w:t>
      </w:r>
      <w:r w:rsidRPr="00D3481F">
        <w:t xml:space="preserve"> no 36216/13, 14 mars 2017). Après la période de confinement, lorsque les services sociaux ont constaté que L.R. refusait d</w:t>
      </w:r>
      <w:r w:rsidR="00D3481F" w:rsidRPr="00D3481F">
        <w:t>’</w:t>
      </w:r>
      <w:r w:rsidRPr="00D3481F">
        <w:t>emmener l</w:t>
      </w:r>
      <w:r w:rsidR="00D3481F" w:rsidRPr="00D3481F">
        <w:t>’</w:t>
      </w:r>
      <w:r w:rsidRPr="00D3481F">
        <w:t xml:space="preserve">enfant </w:t>
      </w:r>
      <w:proofErr w:type="gramStart"/>
      <w:r w:rsidRPr="00D3481F">
        <w:t>voir</w:t>
      </w:r>
      <w:proofErr w:type="gramEnd"/>
      <w:r w:rsidRPr="00D3481F">
        <w:t xml:space="preserve"> son père, elles ont suspendu ces rencontres sans engager la procédure de médiation ordonnée par le tribunal. Aucun contrôle sur l</w:t>
      </w:r>
      <w:r w:rsidR="00D3481F" w:rsidRPr="00D3481F">
        <w:t>’</w:t>
      </w:r>
      <w:r w:rsidRPr="00D3481F">
        <w:t>activité et sur les omissions des services sociaux n</w:t>
      </w:r>
      <w:r w:rsidR="00D3481F" w:rsidRPr="00D3481F">
        <w:t>’</w:t>
      </w:r>
      <w:r w:rsidRPr="00D3481F">
        <w:t>a été effectué par les juridictions.</w:t>
      </w:r>
    </w:p>
    <w:p w:rsidR="007F7726" w:rsidRPr="00D3481F" w:rsidRDefault="007F7726" w:rsidP="00D3481F">
      <w:pPr>
        <w:pStyle w:val="JuPara"/>
      </w:pPr>
      <w:r w:rsidRPr="00D3481F">
        <w:fldChar w:fldCharType="begin"/>
      </w:r>
      <w:r w:rsidRPr="00D3481F">
        <w:instrText xml:space="preserve"> SEQ level0 \*arabic </w:instrText>
      </w:r>
      <w:r w:rsidRPr="00D3481F">
        <w:fldChar w:fldCharType="separate"/>
      </w:r>
      <w:r w:rsidR="00D3481F" w:rsidRPr="00D3481F">
        <w:rPr>
          <w:noProof/>
        </w:rPr>
        <w:t>83</w:t>
      </w:r>
      <w:r w:rsidRPr="00D3481F">
        <w:fldChar w:fldCharType="end"/>
      </w:r>
      <w:r w:rsidRPr="00D3481F">
        <w:t>.  La Cour note que, dans le cas d</w:t>
      </w:r>
      <w:r w:rsidR="00D3481F" w:rsidRPr="00D3481F">
        <w:t>’</w:t>
      </w:r>
      <w:r w:rsidRPr="00D3481F">
        <w:t>espèce, face à l</w:t>
      </w:r>
      <w:r w:rsidR="00D3481F" w:rsidRPr="00D3481F">
        <w:t>’</w:t>
      </w:r>
      <w:r w:rsidRPr="00D3481F">
        <w:t>opposition de la mère de l</w:t>
      </w:r>
      <w:r w:rsidR="00D3481F" w:rsidRPr="00D3481F">
        <w:t>’</w:t>
      </w:r>
      <w:r w:rsidRPr="00D3481F">
        <w:t>enfant, qui perdurait depuis 2014, et aux difficultés rencontrées par le requérant pour exercer son droit de visite, les autorités nationales n</w:t>
      </w:r>
      <w:r w:rsidR="00D3481F" w:rsidRPr="00D3481F">
        <w:t>’</w:t>
      </w:r>
      <w:r w:rsidRPr="00D3481F">
        <w:t>ont pas pris rapidement toutes les mesures nécessaires et qui pouvaient raisonnablement être exigées d</w:t>
      </w:r>
      <w:r w:rsidR="00D3481F" w:rsidRPr="00D3481F">
        <w:t>’</w:t>
      </w:r>
      <w:r w:rsidRPr="00D3481F">
        <w:t>elles pour faire respecter le droit de l</w:t>
      </w:r>
      <w:r w:rsidR="00D3481F" w:rsidRPr="00D3481F">
        <w:t>’</w:t>
      </w:r>
      <w:r w:rsidRPr="00D3481F">
        <w:t>intéressé d</w:t>
      </w:r>
      <w:r w:rsidR="00D3481F" w:rsidRPr="00D3481F">
        <w:t>’</w:t>
      </w:r>
      <w:r w:rsidRPr="00D3481F">
        <w:t>avoir des contacts et d</w:t>
      </w:r>
      <w:r w:rsidR="00D3481F" w:rsidRPr="00D3481F">
        <w:t>’</w:t>
      </w:r>
      <w:r w:rsidRPr="00D3481F">
        <w:t>établir une relation avec son fils (</w:t>
      </w:r>
      <w:r w:rsidRPr="00D3481F">
        <w:rPr>
          <w:i/>
          <w:iCs/>
        </w:rPr>
        <w:t>Terna,</w:t>
      </w:r>
      <w:r w:rsidRPr="00D3481F">
        <w:t xml:space="preserve"> précité § 73 </w:t>
      </w:r>
      <w:r w:rsidRPr="00D3481F">
        <w:rPr>
          <w:i/>
          <w:iCs/>
        </w:rPr>
        <w:t>Strumia,</w:t>
      </w:r>
      <w:r w:rsidRPr="00D3481F">
        <w:t xml:space="preserve"> précité, § 123).</w:t>
      </w:r>
    </w:p>
    <w:p w:rsidR="007F7726" w:rsidRPr="00D3481F" w:rsidRDefault="007F7726" w:rsidP="00D3481F">
      <w:pPr>
        <w:pStyle w:val="JuPara"/>
      </w:pPr>
      <w:r w:rsidRPr="00D3481F">
        <w:fldChar w:fldCharType="begin"/>
      </w:r>
      <w:r w:rsidRPr="00D3481F">
        <w:instrText xml:space="preserve"> SEQ level0 \*arabic </w:instrText>
      </w:r>
      <w:r w:rsidRPr="00D3481F">
        <w:fldChar w:fldCharType="separate"/>
      </w:r>
      <w:r w:rsidR="00D3481F" w:rsidRPr="00D3481F">
        <w:rPr>
          <w:noProof/>
        </w:rPr>
        <w:t>84</w:t>
      </w:r>
      <w:r w:rsidRPr="00D3481F">
        <w:fldChar w:fldCharType="end"/>
      </w:r>
      <w:r w:rsidRPr="00D3481F">
        <w:t>.  A cet égard, la Cour rappelle avoir déjà constaté, dans l</w:t>
      </w:r>
      <w:r w:rsidR="00D3481F" w:rsidRPr="00D3481F">
        <w:t>’</w:t>
      </w:r>
      <w:r w:rsidRPr="00D3481F">
        <w:t>arrêt Terna, (précité § 97), l</w:t>
      </w:r>
      <w:r w:rsidR="00D3481F" w:rsidRPr="00D3481F">
        <w:t>’</w:t>
      </w:r>
      <w:r w:rsidRPr="00D3481F">
        <w:t>existence d</w:t>
      </w:r>
      <w:r w:rsidR="00D3481F" w:rsidRPr="00D3481F">
        <w:t>’</w:t>
      </w:r>
      <w:r w:rsidRPr="00D3481F">
        <w:t>un problème systémique en Italie concernant les retards dans la mise en œuvre du droit de visite judiciairement prononcé.</w:t>
      </w:r>
    </w:p>
    <w:p w:rsidR="007F7726" w:rsidRPr="00D3481F" w:rsidRDefault="007F7726" w:rsidP="00D3481F">
      <w:pPr>
        <w:pStyle w:val="JuPara"/>
        <w:rPr>
          <w:rFonts w:ascii="Times New Roman" w:eastAsia="Times New Roman" w:hAnsi="Times New Roman" w:cs="Times New Roman"/>
          <w:lang w:eastAsia="fr-FR"/>
        </w:rPr>
      </w:pPr>
      <w:r w:rsidRPr="00D3481F">
        <w:rPr>
          <w:rFonts w:eastAsia="Times New Roman"/>
        </w:rPr>
        <w:fldChar w:fldCharType="begin"/>
      </w:r>
      <w:r w:rsidRPr="00D3481F">
        <w:rPr>
          <w:rFonts w:eastAsia="Times New Roman"/>
        </w:rPr>
        <w:instrText xml:space="preserve"> SEQ level0 \*arabic </w:instrText>
      </w:r>
      <w:r w:rsidRPr="00D3481F">
        <w:rPr>
          <w:rFonts w:eastAsia="Times New Roman"/>
        </w:rPr>
        <w:fldChar w:fldCharType="separate"/>
      </w:r>
      <w:r w:rsidR="00D3481F" w:rsidRPr="00D3481F">
        <w:rPr>
          <w:rFonts w:eastAsia="Times New Roman"/>
          <w:noProof/>
        </w:rPr>
        <w:t>85</w:t>
      </w:r>
      <w:r w:rsidRPr="00D3481F">
        <w:rPr>
          <w:rFonts w:eastAsia="Times New Roman"/>
        </w:rPr>
        <w:fldChar w:fldCharType="end"/>
      </w:r>
      <w:r w:rsidRPr="00D3481F">
        <w:rPr>
          <w:rFonts w:eastAsia="Times New Roman"/>
        </w:rPr>
        <w:t>.  La Cour relève également le retard avec lequel le tribunal de Venise a rendu sa décision. Elle rappelle à cet égard qu</w:t>
      </w:r>
      <w:r w:rsidR="00D3481F" w:rsidRPr="00D3481F">
        <w:rPr>
          <w:rFonts w:eastAsia="Times New Roman"/>
        </w:rPr>
        <w:t>’</w:t>
      </w:r>
      <w:r w:rsidRPr="00D3481F">
        <w:rPr>
          <w:rFonts w:eastAsia="Times New Roman"/>
        </w:rPr>
        <w:t>elle peut</w:t>
      </w:r>
      <w:r w:rsidRPr="00D3481F">
        <w:rPr>
          <w:rFonts w:ascii="Times New Roman" w:eastAsia="Times New Roman" w:hAnsi="Times New Roman" w:cs="Times New Roman"/>
          <w:lang w:eastAsia="fr-FR"/>
        </w:rPr>
        <w:t xml:space="preserve"> prendre en compte, sur le terrain de l</w:t>
      </w:r>
      <w:r w:rsidR="00D3481F" w:rsidRPr="00D3481F">
        <w:rPr>
          <w:rFonts w:ascii="Times New Roman" w:eastAsia="Times New Roman" w:hAnsi="Times New Roman" w:cs="Times New Roman"/>
          <w:lang w:eastAsia="fr-FR"/>
        </w:rPr>
        <w:t>’</w:t>
      </w:r>
      <w:r w:rsidRPr="00D3481F">
        <w:rPr>
          <w:rFonts w:ascii="Times New Roman" w:eastAsia="Times New Roman" w:hAnsi="Times New Roman" w:cs="Times New Roman"/>
          <w:lang w:eastAsia="fr-FR"/>
        </w:rPr>
        <w:t>article</w:t>
      </w:r>
      <w:bookmarkStart w:id="29" w:name="HIT12"/>
      <w:bookmarkEnd w:id="29"/>
      <w:r w:rsidRPr="00D3481F">
        <w:rPr>
          <w:rFonts w:ascii="Times New Roman" w:eastAsia="Times New Roman" w:hAnsi="Times New Roman" w:cs="Times New Roman"/>
          <w:lang w:eastAsia="fr-FR"/>
        </w:rPr>
        <w:t xml:space="preserve"> 8 de la Convention, la durée du processus décisionnel des autorités internes ainsi que celle de toute procédure judiciaire connexe. En effet, un retard dans la procédure risque toujours, en pareil cas, de trancher par un fait accompli le problème en litige. Or un respect effectif de la vie familiale commande que les relations futures entre parent et enfant se règlent sur la seule base de l</w:t>
      </w:r>
      <w:r w:rsidR="00D3481F" w:rsidRPr="00D3481F">
        <w:rPr>
          <w:rFonts w:ascii="Times New Roman" w:eastAsia="Times New Roman" w:hAnsi="Times New Roman" w:cs="Times New Roman"/>
          <w:lang w:eastAsia="fr-FR"/>
        </w:rPr>
        <w:t>’</w:t>
      </w:r>
      <w:r w:rsidRPr="00D3481F">
        <w:rPr>
          <w:rFonts w:ascii="Times New Roman" w:eastAsia="Times New Roman" w:hAnsi="Times New Roman" w:cs="Times New Roman"/>
          <w:lang w:eastAsia="fr-FR"/>
        </w:rPr>
        <w:t>ensemble des éléments pertinents, et non par le simple écoulement du temps (</w:t>
      </w:r>
      <w:r w:rsidRPr="00D3481F">
        <w:rPr>
          <w:rFonts w:ascii="Times New Roman" w:eastAsia="Times New Roman" w:hAnsi="Times New Roman" w:cs="Times New Roman"/>
          <w:i/>
          <w:iCs/>
          <w:lang w:eastAsia="fr-FR"/>
        </w:rPr>
        <w:t>W. c. Royaume-Uni</w:t>
      </w:r>
      <w:r w:rsidRPr="00D3481F">
        <w:rPr>
          <w:rFonts w:ascii="Times New Roman" w:eastAsia="Times New Roman" w:hAnsi="Times New Roman" w:cs="Times New Roman"/>
          <w:lang w:eastAsia="fr-FR"/>
        </w:rPr>
        <w:t>, 8 juillet 1987, §§ 64</w:t>
      </w:r>
      <w:r w:rsidRPr="00D3481F">
        <w:rPr>
          <w:rFonts w:ascii="Times New Roman" w:eastAsia="Times New Roman" w:hAnsi="Times New Roman" w:cs="Times New Roman"/>
          <w:lang w:eastAsia="fr-FR"/>
        </w:rPr>
        <w:noBreakHyphen/>
        <w:t>65, série A n</w:t>
      </w:r>
      <w:r w:rsidRPr="00D3481F">
        <w:rPr>
          <w:rFonts w:ascii="Times New Roman" w:eastAsia="Times New Roman" w:hAnsi="Times New Roman" w:cs="Times New Roman"/>
          <w:vertAlign w:val="superscript"/>
          <w:lang w:eastAsia="fr-FR"/>
        </w:rPr>
        <w:t>o</w:t>
      </w:r>
      <w:r w:rsidRPr="00D3481F">
        <w:rPr>
          <w:rFonts w:ascii="Times New Roman" w:eastAsia="Times New Roman" w:hAnsi="Times New Roman" w:cs="Times New Roman"/>
          <w:lang w:eastAsia="fr-FR"/>
        </w:rPr>
        <w:t xml:space="preserve"> 121, </w:t>
      </w:r>
      <w:r w:rsidRPr="00D3481F">
        <w:rPr>
          <w:rFonts w:ascii="Times New Roman" w:eastAsia="Times New Roman" w:hAnsi="Times New Roman" w:cs="Times New Roman"/>
          <w:i/>
          <w:iCs/>
          <w:lang w:eastAsia="fr-FR"/>
        </w:rPr>
        <w:t>Covezzi et Morselli c. Italie</w:t>
      </w:r>
      <w:r w:rsidRPr="00D3481F">
        <w:rPr>
          <w:rFonts w:ascii="Times New Roman" w:eastAsia="Times New Roman" w:hAnsi="Times New Roman" w:cs="Times New Roman"/>
          <w:lang w:eastAsia="fr-FR"/>
        </w:rPr>
        <w:t>, n</w:t>
      </w:r>
      <w:r w:rsidRPr="00D3481F">
        <w:rPr>
          <w:rFonts w:ascii="Times New Roman" w:eastAsia="Times New Roman" w:hAnsi="Times New Roman" w:cs="Times New Roman"/>
          <w:vertAlign w:val="superscript"/>
          <w:lang w:eastAsia="fr-FR"/>
        </w:rPr>
        <w:t>o</w:t>
      </w:r>
      <w:r w:rsidRPr="00D3481F">
        <w:rPr>
          <w:rFonts w:ascii="Times New Roman" w:eastAsia="Times New Roman" w:hAnsi="Times New Roman" w:cs="Times New Roman"/>
          <w:lang w:eastAsia="fr-FR"/>
        </w:rPr>
        <w:t> </w:t>
      </w:r>
      <w:hyperlink r:id="rId34" w:anchor="{&quot;appno&quot;:[&quot;52763/99&quot;]}" w:tgtFrame="_blank" w:history="1">
        <w:r w:rsidRPr="00D3481F">
          <w:rPr>
            <w:rFonts w:ascii="Times New Roman" w:eastAsia="Times New Roman" w:hAnsi="Times New Roman" w:cs="Times New Roman"/>
            <w:lang w:eastAsia="fr-FR"/>
          </w:rPr>
          <w:t>52763/99</w:t>
        </w:r>
      </w:hyperlink>
      <w:r w:rsidRPr="00D3481F">
        <w:rPr>
          <w:rFonts w:ascii="Times New Roman" w:eastAsia="Times New Roman" w:hAnsi="Times New Roman" w:cs="Times New Roman"/>
          <w:lang w:eastAsia="fr-FR"/>
        </w:rPr>
        <w:t xml:space="preserve">, § 136, 9 mai 2003, </w:t>
      </w:r>
      <w:r w:rsidRPr="00D3481F">
        <w:rPr>
          <w:rFonts w:ascii="Times New Roman" w:eastAsia="Times New Roman" w:hAnsi="Times New Roman" w:cs="Times New Roman"/>
          <w:i/>
          <w:iCs/>
          <w:lang w:eastAsia="fr-FR"/>
        </w:rPr>
        <w:t xml:space="preserve">Solarino </w:t>
      </w:r>
      <w:r w:rsidRPr="00D3481F">
        <w:rPr>
          <w:rFonts w:ascii="Times New Roman" w:eastAsia="Times New Roman" w:hAnsi="Times New Roman" w:cs="Times New Roman"/>
          <w:lang w:eastAsia="fr-FR"/>
        </w:rPr>
        <w:t xml:space="preserve">précité, § 39, 9 février 2017, et </w:t>
      </w:r>
      <w:r w:rsidRPr="00D3481F">
        <w:rPr>
          <w:rFonts w:ascii="Times New Roman" w:eastAsia="Times New Roman" w:hAnsi="Times New Roman" w:cs="Times New Roman"/>
          <w:i/>
          <w:iCs/>
          <w:lang w:eastAsia="fr-FR"/>
        </w:rPr>
        <w:t>D</w:t>
      </w:r>
      <w:r w:rsidR="00D3481F" w:rsidRPr="00D3481F">
        <w:rPr>
          <w:rFonts w:ascii="Times New Roman" w:eastAsia="Times New Roman" w:hAnsi="Times New Roman" w:cs="Times New Roman"/>
          <w:i/>
          <w:iCs/>
          <w:lang w:eastAsia="fr-FR"/>
        </w:rPr>
        <w:t>’</w:t>
      </w:r>
      <w:r w:rsidRPr="00D3481F">
        <w:rPr>
          <w:rFonts w:ascii="Times New Roman" w:eastAsia="Times New Roman" w:hAnsi="Times New Roman" w:cs="Times New Roman"/>
          <w:i/>
          <w:iCs/>
          <w:lang w:eastAsia="fr-FR"/>
        </w:rPr>
        <w:t>Alconzo c. Italie</w:t>
      </w:r>
      <w:r w:rsidRPr="00D3481F">
        <w:rPr>
          <w:rFonts w:ascii="Times New Roman" w:eastAsia="Times New Roman" w:hAnsi="Times New Roman" w:cs="Times New Roman"/>
          <w:lang w:eastAsia="fr-FR"/>
        </w:rPr>
        <w:t>, n</w:t>
      </w:r>
      <w:r w:rsidRPr="00D3481F">
        <w:rPr>
          <w:rFonts w:ascii="Times New Roman" w:eastAsia="Times New Roman" w:hAnsi="Times New Roman" w:cs="Times New Roman"/>
          <w:vertAlign w:val="superscript"/>
          <w:lang w:eastAsia="fr-FR"/>
        </w:rPr>
        <w:t>o</w:t>
      </w:r>
      <w:r w:rsidRPr="00D3481F">
        <w:rPr>
          <w:rFonts w:ascii="Times New Roman" w:eastAsia="Times New Roman" w:hAnsi="Times New Roman" w:cs="Times New Roman"/>
          <w:lang w:eastAsia="fr-FR"/>
        </w:rPr>
        <w:t> </w:t>
      </w:r>
      <w:hyperlink r:id="rId35" w:anchor="{&quot;appno&quot;:[&quot;64297/12&quot;]}" w:tgtFrame="_blank" w:history="1">
        <w:r w:rsidRPr="00D3481F">
          <w:rPr>
            <w:rFonts w:ascii="Times New Roman" w:eastAsia="Times New Roman" w:hAnsi="Times New Roman" w:cs="Times New Roman"/>
            <w:lang w:eastAsia="fr-FR"/>
          </w:rPr>
          <w:t>64297/12</w:t>
        </w:r>
      </w:hyperlink>
      <w:r w:rsidRPr="00D3481F">
        <w:rPr>
          <w:rFonts w:ascii="Times New Roman" w:eastAsia="Times New Roman" w:hAnsi="Times New Roman" w:cs="Times New Roman"/>
          <w:lang w:eastAsia="fr-FR"/>
        </w:rPr>
        <w:t>, § 64, 23 février 2017).</w:t>
      </w:r>
    </w:p>
    <w:p w:rsidR="007F7726" w:rsidRPr="00D3481F" w:rsidRDefault="007F7726" w:rsidP="00D3481F">
      <w:pPr>
        <w:pStyle w:val="JuPara"/>
        <w:rPr>
          <w:rFonts w:eastAsia="Times New Roman" w:cstheme="minorHAnsi"/>
          <w:lang w:eastAsia="fr-FR"/>
        </w:rPr>
      </w:pPr>
      <w:r w:rsidRPr="00D3481F">
        <w:rPr>
          <w:rFonts w:ascii="Times New Roman" w:eastAsia="Times New Roman" w:hAnsi="Times New Roman" w:cs="Times New Roman"/>
          <w:lang w:eastAsia="fr-FR"/>
        </w:rPr>
        <w:fldChar w:fldCharType="begin"/>
      </w:r>
      <w:r w:rsidRPr="00D3481F">
        <w:rPr>
          <w:rFonts w:ascii="Times New Roman" w:eastAsia="Times New Roman" w:hAnsi="Times New Roman" w:cs="Times New Roman"/>
          <w:lang w:eastAsia="fr-FR"/>
        </w:rPr>
        <w:instrText xml:space="preserve"> SEQ level0 \*arabic </w:instrText>
      </w:r>
      <w:r w:rsidRPr="00D3481F">
        <w:rPr>
          <w:rFonts w:ascii="Times New Roman" w:eastAsia="Times New Roman" w:hAnsi="Times New Roman" w:cs="Times New Roman"/>
          <w:lang w:eastAsia="fr-FR"/>
        </w:rPr>
        <w:fldChar w:fldCharType="separate"/>
      </w:r>
      <w:r w:rsidR="00D3481F" w:rsidRPr="00D3481F">
        <w:rPr>
          <w:rFonts w:ascii="Times New Roman" w:eastAsia="Times New Roman" w:hAnsi="Times New Roman" w:cs="Times New Roman"/>
          <w:noProof/>
          <w:lang w:eastAsia="fr-FR"/>
        </w:rPr>
        <w:t>86</w:t>
      </w:r>
      <w:r w:rsidRPr="00D3481F">
        <w:rPr>
          <w:rFonts w:ascii="Times New Roman" w:eastAsia="Times New Roman" w:hAnsi="Times New Roman" w:cs="Times New Roman"/>
          <w:lang w:eastAsia="fr-FR"/>
        </w:rPr>
        <w:fldChar w:fldCharType="end"/>
      </w:r>
      <w:r w:rsidRPr="00D3481F">
        <w:rPr>
          <w:rFonts w:ascii="Times New Roman" w:eastAsia="Times New Roman" w:hAnsi="Times New Roman" w:cs="Times New Roman"/>
          <w:lang w:eastAsia="fr-FR"/>
        </w:rPr>
        <w:t>.  Pour la Cour, un surcroît de diligence et de rapidité s</w:t>
      </w:r>
      <w:r w:rsidR="00D3481F" w:rsidRPr="00D3481F">
        <w:rPr>
          <w:rFonts w:ascii="Times New Roman" w:eastAsia="Times New Roman" w:hAnsi="Times New Roman" w:cs="Times New Roman"/>
          <w:lang w:eastAsia="fr-FR"/>
        </w:rPr>
        <w:t>’</w:t>
      </w:r>
      <w:r w:rsidRPr="00D3481F">
        <w:rPr>
          <w:rFonts w:ascii="Times New Roman" w:eastAsia="Times New Roman" w:hAnsi="Times New Roman" w:cs="Times New Roman"/>
          <w:lang w:eastAsia="fr-FR"/>
        </w:rPr>
        <w:t>imposait dans l</w:t>
      </w:r>
      <w:r w:rsidR="00D3481F" w:rsidRPr="00D3481F">
        <w:rPr>
          <w:rFonts w:ascii="Times New Roman" w:eastAsia="Times New Roman" w:hAnsi="Times New Roman" w:cs="Times New Roman"/>
          <w:lang w:eastAsia="fr-FR"/>
        </w:rPr>
        <w:t>’</w:t>
      </w:r>
      <w:r w:rsidRPr="00D3481F">
        <w:rPr>
          <w:rFonts w:ascii="Times New Roman" w:eastAsia="Times New Roman" w:hAnsi="Times New Roman" w:cs="Times New Roman"/>
          <w:lang w:eastAsia="fr-FR"/>
        </w:rPr>
        <w:t>adoption d</w:t>
      </w:r>
      <w:r w:rsidR="00D3481F" w:rsidRPr="00D3481F">
        <w:rPr>
          <w:rFonts w:ascii="Times New Roman" w:eastAsia="Times New Roman" w:hAnsi="Times New Roman" w:cs="Times New Roman"/>
          <w:lang w:eastAsia="fr-FR"/>
        </w:rPr>
        <w:t>’</w:t>
      </w:r>
      <w:r w:rsidRPr="00D3481F">
        <w:rPr>
          <w:rFonts w:ascii="Times New Roman" w:eastAsia="Times New Roman" w:hAnsi="Times New Roman" w:cs="Times New Roman"/>
          <w:lang w:eastAsia="fr-FR"/>
        </w:rPr>
        <w:t>une décision touchant aux droits garantis par l</w:t>
      </w:r>
      <w:r w:rsidR="00D3481F" w:rsidRPr="00D3481F">
        <w:rPr>
          <w:rFonts w:ascii="Times New Roman" w:eastAsia="Times New Roman" w:hAnsi="Times New Roman" w:cs="Times New Roman"/>
          <w:lang w:eastAsia="fr-FR"/>
        </w:rPr>
        <w:t>’</w:t>
      </w:r>
      <w:r w:rsidRPr="00D3481F">
        <w:rPr>
          <w:rFonts w:ascii="Times New Roman" w:eastAsia="Times New Roman" w:hAnsi="Times New Roman" w:cs="Times New Roman"/>
          <w:lang w:eastAsia="fr-FR"/>
        </w:rPr>
        <w:t>article 8 de la Convention. L</w:t>
      </w:r>
      <w:r w:rsidR="00D3481F" w:rsidRPr="00D3481F">
        <w:rPr>
          <w:rFonts w:ascii="Times New Roman" w:eastAsia="Times New Roman" w:hAnsi="Times New Roman" w:cs="Times New Roman"/>
          <w:lang w:eastAsia="fr-FR"/>
        </w:rPr>
        <w:t>’</w:t>
      </w:r>
      <w:r w:rsidRPr="00D3481F">
        <w:rPr>
          <w:rFonts w:ascii="Times New Roman" w:eastAsia="Times New Roman" w:hAnsi="Times New Roman" w:cs="Times New Roman"/>
          <w:lang w:eastAsia="fr-FR"/>
        </w:rPr>
        <w:t>enjeu de la procédure pour le requérant exigeait un traitement urgent, car le passage du temps pouvait avoir des conséquences irrémédiables sur les relations entre l</w:t>
      </w:r>
      <w:r w:rsidR="00D3481F" w:rsidRPr="00D3481F">
        <w:rPr>
          <w:rFonts w:ascii="Times New Roman" w:eastAsia="Times New Roman" w:hAnsi="Times New Roman" w:cs="Times New Roman"/>
          <w:lang w:eastAsia="fr-FR"/>
        </w:rPr>
        <w:t>’</w:t>
      </w:r>
      <w:r w:rsidRPr="00D3481F">
        <w:rPr>
          <w:rFonts w:ascii="Times New Roman" w:eastAsia="Times New Roman" w:hAnsi="Times New Roman" w:cs="Times New Roman"/>
          <w:lang w:eastAsia="fr-FR"/>
        </w:rPr>
        <w:t>enfant et son père, qui ne vivait pas avec lui. La Cour rappelle en effet que la rupture du contact avec un enfant très jeune peut conduire à une altération croissante de sa relation avec son parent. À cet égard, elle note qu</w:t>
      </w:r>
      <w:r w:rsidR="00D3481F" w:rsidRPr="00D3481F">
        <w:rPr>
          <w:rFonts w:ascii="Times New Roman" w:eastAsia="Times New Roman" w:hAnsi="Times New Roman" w:cs="Times New Roman"/>
          <w:lang w:eastAsia="fr-FR"/>
        </w:rPr>
        <w:t>’</w:t>
      </w:r>
      <w:r w:rsidRPr="00D3481F">
        <w:rPr>
          <w:rFonts w:ascii="Times New Roman" w:eastAsia="Times New Roman" w:hAnsi="Times New Roman" w:cs="Times New Roman"/>
          <w:lang w:eastAsia="fr-FR"/>
        </w:rPr>
        <w:t>en dépit des demandes déposées par le requérant, les services sociaux et le parquet, qui signalaient une situation dangereuse pour l</w:t>
      </w:r>
      <w:r w:rsidR="00D3481F" w:rsidRPr="00D3481F">
        <w:rPr>
          <w:rFonts w:ascii="Times New Roman" w:eastAsia="Times New Roman" w:hAnsi="Times New Roman" w:cs="Times New Roman"/>
          <w:lang w:eastAsia="fr-FR"/>
        </w:rPr>
        <w:t>’</w:t>
      </w:r>
      <w:r w:rsidRPr="00D3481F">
        <w:rPr>
          <w:rFonts w:ascii="Times New Roman" w:eastAsia="Times New Roman" w:hAnsi="Times New Roman" w:cs="Times New Roman"/>
          <w:lang w:eastAsia="fr-FR"/>
        </w:rPr>
        <w:t>enfant, il a fallu deux ans au tribunal de Venise pour prendre une décision, qui, à ce jour, n</w:t>
      </w:r>
      <w:r w:rsidR="00D3481F" w:rsidRPr="00D3481F">
        <w:rPr>
          <w:rFonts w:ascii="Times New Roman" w:eastAsia="Times New Roman" w:hAnsi="Times New Roman" w:cs="Times New Roman"/>
          <w:lang w:eastAsia="fr-FR"/>
        </w:rPr>
        <w:t>’</w:t>
      </w:r>
      <w:r w:rsidRPr="00D3481F">
        <w:rPr>
          <w:rFonts w:ascii="Times New Roman" w:eastAsia="Times New Roman" w:hAnsi="Times New Roman" w:cs="Times New Roman"/>
          <w:lang w:eastAsia="fr-FR"/>
        </w:rPr>
        <w:t>est toujours pas exécutée, sans que ce défaut d</w:t>
      </w:r>
      <w:r w:rsidR="00D3481F" w:rsidRPr="00D3481F">
        <w:rPr>
          <w:rFonts w:ascii="Times New Roman" w:eastAsia="Times New Roman" w:hAnsi="Times New Roman" w:cs="Times New Roman"/>
          <w:lang w:eastAsia="fr-FR"/>
        </w:rPr>
        <w:t>’</w:t>
      </w:r>
      <w:r w:rsidRPr="00D3481F">
        <w:rPr>
          <w:rFonts w:ascii="Times New Roman" w:eastAsia="Times New Roman" w:hAnsi="Times New Roman" w:cs="Times New Roman"/>
          <w:lang w:eastAsia="fr-FR"/>
        </w:rPr>
        <w:t xml:space="preserve">exécution entraîne de conséquences pour L.R., malgré les </w:t>
      </w:r>
      <w:r w:rsidRPr="00D3481F">
        <w:rPr>
          <w:rFonts w:ascii="Times New Roman" w:eastAsia="Times New Roman" w:hAnsi="Times New Roman" w:cs="Times New Roman"/>
          <w:lang w:eastAsia="fr-FR"/>
        </w:rPr>
        <w:lastRenderedPageBreak/>
        <w:t xml:space="preserve">avertissements du tribunal et bien que L.R. </w:t>
      </w:r>
      <w:r w:rsidRPr="00D3481F">
        <w:rPr>
          <w:rFonts w:eastAsia="Times New Roman" w:cstheme="minorHAnsi"/>
          <w:lang w:eastAsia="fr-FR"/>
        </w:rPr>
        <w:t>ait été condamnée pour soustraction de mineur.</w:t>
      </w:r>
    </w:p>
    <w:p w:rsidR="007F7726" w:rsidRPr="00D3481F" w:rsidRDefault="007F7726" w:rsidP="00D3481F">
      <w:pPr>
        <w:pStyle w:val="JuPara"/>
        <w:rPr>
          <w:rFonts w:eastAsia="Times New Roman"/>
        </w:rPr>
      </w:pPr>
      <w:r w:rsidRPr="00D3481F">
        <w:rPr>
          <w:rFonts w:eastAsia="Times New Roman"/>
        </w:rPr>
        <w:fldChar w:fldCharType="begin"/>
      </w:r>
      <w:r w:rsidRPr="00D3481F">
        <w:rPr>
          <w:rFonts w:eastAsia="Times New Roman"/>
        </w:rPr>
        <w:instrText xml:space="preserve"> SEQ level0 \*arabic </w:instrText>
      </w:r>
      <w:r w:rsidRPr="00D3481F">
        <w:rPr>
          <w:rFonts w:eastAsia="Times New Roman"/>
        </w:rPr>
        <w:fldChar w:fldCharType="separate"/>
      </w:r>
      <w:r w:rsidR="00D3481F" w:rsidRPr="00D3481F">
        <w:rPr>
          <w:rFonts w:eastAsia="Times New Roman"/>
          <w:noProof/>
        </w:rPr>
        <w:t>87</w:t>
      </w:r>
      <w:r w:rsidRPr="00D3481F">
        <w:rPr>
          <w:rFonts w:eastAsia="Times New Roman"/>
        </w:rPr>
        <w:fldChar w:fldCharType="end"/>
      </w:r>
      <w:r w:rsidRPr="00D3481F">
        <w:rPr>
          <w:rFonts w:eastAsia="Times New Roman"/>
        </w:rPr>
        <w:t>.  Eu égard à ce qui précède et nonobstant la marge d</w:t>
      </w:r>
      <w:r w:rsidR="00D3481F" w:rsidRPr="00D3481F">
        <w:rPr>
          <w:rFonts w:eastAsia="Times New Roman"/>
        </w:rPr>
        <w:t>’</w:t>
      </w:r>
      <w:r w:rsidRPr="00D3481F">
        <w:rPr>
          <w:rFonts w:eastAsia="Times New Roman"/>
        </w:rPr>
        <w:t>appréciation de l</w:t>
      </w:r>
      <w:r w:rsidR="00D3481F" w:rsidRPr="00D3481F">
        <w:rPr>
          <w:rFonts w:eastAsia="Times New Roman"/>
        </w:rPr>
        <w:t>’</w:t>
      </w:r>
      <w:r w:rsidRPr="00D3481F">
        <w:rPr>
          <w:rFonts w:eastAsia="Times New Roman"/>
        </w:rPr>
        <w:t>État défendeur en la matière, la Cour considère que les autorités nationales n</w:t>
      </w:r>
      <w:r w:rsidR="00D3481F" w:rsidRPr="00D3481F">
        <w:rPr>
          <w:rFonts w:eastAsia="Times New Roman"/>
        </w:rPr>
        <w:t>’</w:t>
      </w:r>
      <w:r w:rsidRPr="00D3481F">
        <w:rPr>
          <w:rFonts w:eastAsia="Times New Roman"/>
        </w:rPr>
        <w:t>ont pas déployé des efforts adéquats et suffisants pour faire respecter le droit de visite du requérant et qu</w:t>
      </w:r>
      <w:r w:rsidR="00D3481F" w:rsidRPr="00D3481F">
        <w:rPr>
          <w:rFonts w:eastAsia="Times New Roman"/>
        </w:rPr>
        <w:t>’</w:t>
      </w:r>
      <w:r w:rsidRPr="00D3481F">
        <w:rPr>
          <w:rFonts w:eastAsia="Times New Roman"/>
        </w:rPr>
        <w:t>elles ont méconnu le droit de l</w:t>
      </w:r>
      <w:r w:rsidR="00D3481F" w:rsidRPr="00D3481F">
        <w:rPr>
          <w:rFonts w:eastAsia="Times New Roman"/>
        </w:rPr>
        <w:t>’</w:t>
      </w:r>
      <w:r w:rsidRPr="00D3481F">
        <w:rPr>
          <w:rFonts w:eastAsia="Times New Roman"/>
        </w:rPr>
        <w:t>intéressé au respect de sa vie familiale.</w:t>
      </w:r>
    </w:p>
    <w:p w:rsidR="007F7726" w:rsidRPr="00D3481F" w:rsidRDefault="007F7726" w:rsidP="00D3481F">
      <w:pPr>
        <w:pStyle w:val="JuPara"/>
        <w:rPr>
          <w:rFonts w:eastAsia="Times New Roman"/>
        </w:rPr>
      </w:pPr>
      <w:r w:rsidRPr="00D3481F">
        <w:rPr>
          <w:rFonts w:eastAsia="Times New Roman"/>
        </w:rPr>
        <w:fldChar w:fldCharType="begin"/>
      </w:r>
      <w:r w:rsidRPr="00D3481F">
        <w:rPr>
          <w:rFonts w:eastAsia="Times New Roman"/>
        </w:rPr>
        <w:instrText xml:space="preserve"> SEQ level0 \*arabic </w:instrText>
      </w:r>
      <w:r w:rsidRPr="00D3481F">
        <w:rPr>
          <w:rFonts w:eastAsia="Times New Roman"/>
        </w:rPr>
        <w:fldChar w:fldCharType="separate"/>
      </w:r>
      <w:r w:rsidR="00D3481F" w:rsidRPr="00D3481F">
        <w:rPr>
          <w:rFonts w:eastAsia="Times New Roman"/>
          <w:noProof/>
        </w:rPr>
        <w:t>88</w:t>
      </w:r>
      <w:r w:rsidRPr="00D3481F">
        <w:rPr>
          <w:rFonts w:eastAsia="Times New Roman"/>
        </w:rPr>
        <w:fldChar w:fldCharType="end"/>
      </w:r>
      <w:r w:rsidRPr="00D3481F">
        <w:rPr>
          <w:rFonts w:eastAsia="Times New Roman"/>
        </w:rPr>
        <w:t>.  Partant, il y a eu violation de l</w:t>
      </w:r>
      <w:r w:rsidR="00D3481F" w:rsidRPr="00D3481F">
        <w:rPr>
          <w:rFonts w:eastAsia="Times New Roman"/>
        </w:rPr>
        <w:t>’</w:t>
      </w:r>
      <w:r w:rsidRPr="00D3481F">
        <w:rPr>
          <w:rFonts w:eastAsia="Times New Roman"/>
        </w:rPr>
        <w:t>article 8 de la Convention.</w:t>
      </w:r>
    </w:p>
    <w:bookmarkEnd w:id="22"/>
    <w:p w:rsidR="007F7726" w:rsidRPr="00D3481F" w:rsidRDefault="007F7726" w:rsidP="00D3481F">
      <w:pPr>
        <w:pStyle w:val="JuHIRoman"/>
      </w:pPr>
      <w:r w:rsidRPr="00D3481F">
        <w:t>SUR L</w:t>
      </w:r>
      <w:r w:rsidR="00D3481F" w:rsidRPr="00D3481F">
        <w:t>’</w:t>
      </w:r>
      <w:r w:rsidRPr="00D3481F">
        <w:t>APPLICATION DE L</w:t>
      </w:r>
      <w:r w:rsidR="00D3481F" w:rsidRPr="00D3481F">
        <w:t>’</w:t>
      </w:r>
      <w:r w:rsidRPr="00D3481F">
        <w:t>ARTICLE 41 DE LA CONVENTION</w:t>
      </w:r>
    </w:p>
    <w:p w:rsidR="007F7726" w:rsidRPr="00D3481F" w:rsidRDefault="007F7726" w:rsidP="00D3481F">
      <w:pPr>
        <w:pStyle w:val="JuPara"/>
      </w:pPr>
      <w:r w:rsidRPr="00D3481F">
        <w:fldChar w:fldCharType="begin"/>
      </w:r>
      <w:r w:rsidRPr="00D3481F">
        <w:instrText xml:space="preserve"> SEQ level0 \*arabic </w:instrText>
      </w:r>
      <w:r w:rsidRPr="00D3481F">
        <w:fldChar w:fldCharType="separate"/>
      </w:r>
      <w:r w:rsidR="00D3481F" w:rsidRPr="00D3481F">
        <w:rPr>
          <w:noProof/>
        </w:rPr>
        <w:t>89</w:t>
      </w:r>
      <w:r w:rsidRPr="00D3481F">
        <w:fldChar w:fldCharType="end"/>
      </w:r>
      <w:r w:rsidRPr="00D3481F">
        <w:t>.  </w:t>
      </w:r>
      <w:bookmarkStart w:id="30" w:name="_Hlk36128236"/>
      <w:r w:rsidRPr="00D3481F">
        <w:t>Aux termes de l</w:t>
      </w:r>
      <w:r w:rsidR="00D3481F" w:rsidRPr="00D3481F">
        <w:t>’</w:t>
      </w:r>
      <w:r w:rsidRPr="00D3481F">
        <w:t>article 41 de la Convention :</w:t>
      </w:r>
      <w:bookmarkEnd w:id="30"/>
    </w:p>
    <w:p w:rsidR="007F7726" w:rsidRPr="00D3481F" w:rsidRDefault="007F7726" w:rsidP="00D3481F">
      <w:pPr>
        <w:pStyle w:val="JuQuot"/>
      </w:pPr>
      <w:bookmarkStart w:id="31" w:name="_Hlk36128242"/>
      <w:r w:rsidRPr="00D3481F">
        <w:t>« Si la Cour déclare qu</w:t>
      </w:r>
      <w:r w:rsidR="00D3481F" w:rsidRPr="00D3481F">
        <w:t>’</w:t>
      </w:r>
      <w:r w:rsidRPr="00D3481F">
        <w:t>il y a eu violation de la Convention ou de ses Protocoles, et si le droit interne de la Haute Partie contractante ne permet d</w:t>
      </w:r>
      <w:r w:rsidR="00D3481F" w:rsidRPr="00D3481F">
        <w:t>’</w:t>
      </w:r>
      <w:r w:rsidRPr="00D3481F">
        <w:t>effacer qu</w:t>
      </w:r>
      <w:r w:rsidR="00D3481F" w:rsidRPr="00D3481F">
        <w:t>’</w:t>
      </w:r>
      <w:r w:rsidRPr="00D3481F">
        <w:t>imparfaitement les conséquences de cette violation, la Cour accorde à la partie lésée, s</w:t>
      </w:r>
      <w:r w:rsidR="00D3481F" w:rsidRPr="00D3481F">
        <w:t>’</w:t>
      </w:r>
      <w:r w:rsidRPr="00D3481F">
        <w:t>il y a lieu, une satisfaction équitable. »</w:t>
      </w:r>
      <w:bookmarkEnd w:id="31"/>
    </w:p>
    <w:p w:rsidR="007F7726" w:rsidRPr="00D3481F" w:rsidRDefault="007F7726" w:rsidP="00D3481F">
      <w:pPr>
        <w:pStyle w:val="JuHA"/>
      </w:pPr>
      <w:r w:rsidRPr="00D3481F">
        <w:t>Dommage</w:t>
      </w:r>
    </w:p>
    <w:p w:rsidR="007F7726" w:rsidRPr="00D3481F" w:rsidRDefault="007F7726" w:rsidP="00D3481F">
      <w:pPr>
        <w:pStyle w:val="JuPara"/>
      </w:pPr>
      <w:r w:rsidRPr="00D3481F">
        <w:fldChar w:fldCharType="begin"/>
      </w:r>
      <w:r w:rsidRPr="00D3481F">
        <w:instrText xml:space="preserve"> SEQ level0 \*arabic </w:instrText>
      </w:r>
      <w:r w:rsidRPr="00D3481F">
        <w:fldChar w:fldCharType="separate"/>
      </w:r>
      <w:r w:rsidR="00D3481F" w:rsidRPr="00D3481F">
        <w:rPr>
          <w:noProof/>
        </w:rPr>
        <w:t>90</w:t>
      </w:r>
      <w:r w:rsidRPr="00D3481F">
        <w:fldChar w:fldCharType="end"/>
      </w:r>
      <w:r w:rsidRPr="00D3481F">
        <w:t>.  Le requérant demande 100 000 euros (EUR) pour le dommage moral qu</w:t>
      </w:r>
      <w:r w:rsidR="00D3481F" w:rsidRPr="00D3481F">
        <w:t>’</w:t>
      </w:r>
      <w:r w:rsidRPr="00D3481F">
        <w:t>il estime avoir subi à</w:t>
      </w:r>
      <w:r w:rsidRPr="00D3481F">
        <w:rPr>
          <w:rFonts w:ascii="Times New Roman" w:hAnsi="Times New Roman" w:cs="Times New Roman"/>
          <w:color w:val="000000"/>
        </w:rPr>
        <w:t xml:space="preserve"> raison d</w:t>
      </w:r>
      <w:r w:rsidR="00D3481F" w:rsidRPr="00D3481F">
        <w:rPr>
          <w:rFonts w:ascii="Times New Roman" w:hAnsi="Times New Roman" w:cs="Times New Roman"/>
          <w:color w:val="000000"/>
        </w:rPr>
        <w:t>’</w:t>
      </w:r>
      <w:r w:rsidRPr="00D3481F">
        <w:rPr>
          <w:rFonts w:ascii="Times New Roman" w:hAnsi="Times New Roman" w:cs="Times New Roman"/>
          <w:color w:val="000000"/>
        </w:rPr>
        <w:t>une impossibilité pour lui de nouer une relation avec son fils depuis 2014.</w:t>
      </w:r>
    </w:p>
    <w:p w:rsidR="007F7726" w:rsidRPr="00D3481F" w:rsidRDefault="007F7726" w:rsidP="00D3481F">
      <w:pPr>
        <w:pStyle w:val="JuPara"/>
      </w:pPr>
      <w:r w:rsidRPr="00D3481F">
        <w:fldChar w:fldCharType="begin"/>
      </w:r>
      <w:r w:rsidRPr="00D3481F">
        <w:instrText xml:space="preserve"> SEQ level0 \*arabic </w:instrText>
      </w:r>
      <w:r w:rsidRPr="00D3481F">
        <w:fldChar w:fldCharType="separate"/>
      </w:r>
      <w:r w:rsidR="00D3481F" w:rsidRPr="00D3481F">
        <w:rPr>
          <w:noProof/>
        </w:rPr>
        <w:t>91</w:t>
      </w:r>
      <w:r w:rsidRPr="00D3481F">
        <w:fldChar w:fldCharType="end"/>
      </w:r>
      <w:r w:rsidRPr="00D3481F">
        <w:t>.  Le Gouvernement conteste les prétentions du requérant.</w:t>
      </w:r>
    </w:p>
    <w:p w:rsidR="007F7726" w:rsidRPr="00D3481F" w:rsidRDefault="007F7726" w:rsidP="00D3481F">
      <w:pPr>
        <w:pStyle w:val="JuPara"/>
        <w:rPr>
          <w:rFonts w:ascii="Times New Roman" w:hAnsi="Times New Roman" w:cs="Times New Roman"/>
          <w:color w:val="000000"/>
        </w:rPr>
      </w:pPr>
      <w:r w:rsidRPr="00D3481F">
        <w:fldChar w:fldCharType="begin"/>
      </w:r>
      <w:r w:rsidRPr="00D3481F">
        <w:instrText xml:space="preserve"> SEQ level0 \*arabic </w:instrText>
      </w:r>
      <w:r w:rsidRPr="00D3481F">
        <w:fldChar w:fldCharType="separate"/>
      </w:r>
      <w:r w:rsidR="00D3481F" w:rsidRPr="00D3481F">
        <w:rPr>
          <w:noProof/>
        </w:rPr>
        <w:t>92</w:t>
      </w:r>
      <w:r w:rsidRPr="00D3481F">
        <w:fldChar w:fldCharType="end"/>
      </w:r>
      <w:r w:rsidRPr="00D3481F">
        <w:t>.  </w:t>
      </w:r>
      <w:r w:rsidRPr="00D3481F">
        <w:rPr>
          <w:rFonts w:ascii="Times New Roman" w:hAnsi="Times New Roman" w:cs="Times New Roman"/>
          <w:color w:val="000000"/>
        </w:rPr>
        <w:t>La Cour considère que l</w:t>
      </w:r>
      <w:r w:rsidR="00D3481F" w:rsidRPr="00D3481F">
        <w:rPr>
          <w:rFonts w:ascii="Times New Roman" w:hAnsi="Times New Roman" w:cs="Times New Roman"/>
          <w:color w:val="000000"/>
        </w:rPr>
        <w:t>’</w:t>
      </w:r>
      <w:r w:rsidRPr="00D3481F">
        <w:rPr>
          <w:rFonts w:ascii="Times New Roman" w:hAnsi="Times New Roman" w:cs="Times New Roman"/>
          <w:color w:val="000000"/>
        </w:rPr>
        <w:t>intéressé a subi un dommage moral qui ne saurait être réparé par le seul constat de violation de l</w:t>
      </w:r>
      <w:r w:rsidR="00D3481F" w:rsidRPr="00D3481F">
        <w:rPr>
          <w:rFonts w:ascii="Times New Roman" w:hAnsi="Times New Roman" w:cs="Times New Roman"/>
          <w:color w:val="000000"/>
        </w:rPr>
        <w:t>’</w:t>
      </w:r>
      <w:r w:rsidRPr="00D3481F">
        <w:rPr>
          <w:rFonts w:ascii="Times New Roman" w:hAnsi="Times New Roman" w:cs="Times New Roman"/>
          <w:color w:val="000000"/>
        </w:rPr>
        <w:t>article 8 de la Convention. Elle estime que l</w:t>
      </w:r>
      <w:r w:rsidR="00D3481F" w:rsidRPr="00D3481F">
        <w:rPr>
          <w:rFonts w:ascii="Times New Roman" w:hAnsi="Times New Roman" w:cs="Times New Roman"/>
          <w:color w:val="000000"/>
        </w:rPr>
        <w:t>’</w:t>
      </w:r>
      <w:r w:rsidRPr="00D3481F">
        <w:rPr>
          <w:rFonts w:ascii="Times New Roman" w:hAnsi="Times New Roman" w:cs="Times New Roman"/>
          <w:color w:val="000000"/>
        </w:rPr>
        <w:t>impossibilité pour le requérant de maintenir des contacts significatifs avec son enfant lui a causé frustration et souffrance et l</w:t>
      </w:r>
      <w:r w:rsidR="00D3481F" w:rsidRPr="00D3481F">
        <w:rPr>
          <w:rFonts w:ascii="Times New Roman" w:hAnsi="Times New Roman" w:cs="Times New Roman"/>
          <w:color w:val="000000"/>
        </w:rPr>
        <w:t>’</w:t>
      </w:r>
      <w:r w:rsidRPr="00D3481F">
        <w:rPr>
          <w:rFonts w:ascii="Times New Roman" w:hAnsi="Times New Roman" w:cs="Times New Roman"/>
          <w:color w:val="000000"/>
        </w:rPr>
        <w:t>a empêché de développer des relations avec son fils sur une période de plusieurs années. Par conséquent, eu égard à l</w:t>
      </w:r>
      <w:r w:rsidR="00D3481F" w:rsidRPr="00D3481F">
        <w:rPr>
          <w:rFonts w:ascii="Times New Roman" w:hAnsi="Times New Roman" w:cs="Times New Roman"/>
          <w:color w:val="000000"/>
        </w:rPr>
        <w:t>’</w:t>
      </w:r>
      <w:r w:rsidRPr="00D3481F">
        <w:rPr>
          <w:rFonts w:ascii="Times New Roman" w:hAnsi="Times New Roman" w:cs="Times New Roman"/>
          <w:color w:val="000000"/>
        </w:rPr>
        <w:t>ensemble des éléments dont elle dispose et statuant en équité, comme le veut l</w:t>
      </w:r>
      <w:r w:rsidR="00D3481F" w:rsidRPr="00D3481F">
        <w:rPr>
          <w:rFonts w:ascii="Times New Roman" w:hAnsi="Times New Roman" w:cs="Times New Roman"/>
          <w:color w:val="000000"/>
        </w:rPr>
        <w:t>’</w:t>
      </w:r>
      <w:r w:rsidRPr="00D3481F">
        <w:rPr>
          <w:rFonts w:ascii="Times New Roman" w:hAnsi="Times New Roman" w:cs="Times New Roman"/>
          <w:color w:val="000000"/>
        </w:rPr>
        <w:t>article 41 de la Convention, elle alloue à l</w:t>
      </w:r>
      <w:r w:rsidR="00D3481F" w:rsidRPr="00D3481F">
        <w:rPr>
          <w:rFonts w:ascii="Times New Roman" w:hAnsi="Times New Roman" w:cs="Times New Roman"/>
          <w:color w:val="000000"/>
        </w:rPr>
        <w:t>’</w:t>
      </w:r>
      <w:r w:rsidRPr="00D3481F">
        <w:rPr>
          <w:rFonts w:ascii="Times New Roman" w:hAnsi="Times New Roman" w:cs="Times New Roman"/>
          <w:color w:val="000000"/>
        </w:rPr>
        <w:t>intéressé la somme 13 000 EUR à ce titre.</w:t>
      </w:r>
    </w:p>
    <w:p w:rsidR="007F7726" w:rsidRPr="00D3481F" w:rsidRDefault="007F7726" w:rsidP="00D3481F">
      <w:pPr>
        <w:pStyle w:val="JuHA"/>
      </w:pPr>
      <w:r w:rsidRPr="00D3481F">
        <w:t>Frais et dépens</w:t>
      </w:r>
    </w:p>
    <w:p w:rsidR="007F7726" w:rsidRPr="00D3481F" w:rsidRDefault="007F7726" w:rsidP="00D3481F">
      <w:pPr>
        <w:pStyle w:val="JuPara"/>
      </w:pPr>
      <w:r w:rsidRPr="00D3481F">
        <w:fldChar w:fldCharType="begin"/>
      </w:r>
      <w:r w:rsidRPr="00D3481F">
        <w:instrText xml:space="preserve"> SEQ level0 \*arabic </w:instrText>
      </w:r>
      <w:r w:rsidRPr="00D3481F">
        <w:fldChar w:fldCharType="separate"/>
      </w:r>
      <w:r w:rsidR="00D3481F" w:rsidRPr="00D3481F">
        <w:rPr>
          <w:noProof/>
        </w:rPr>
        <w:t>93</w:t>
      </w:r>
      <w:r w:rsidRPr="00D3481F">
        <w:fldChar w:fldCharType="end"/>
      </w:r>
      <w:r w:rsidRPr="00D3481F">
        <w:t>.  Justificatifs à l</w:t>
      </w:r>
      <w:r w:rsidR="00D3481F" w:rsidRPr="00D3481F">
        <w:t>’</w:t>
      </w:r>
      <w:r w:rsidRPr="00D3481F">
        <w:t>appui, le requérant réclame 39 692,01 EUR pour les frais et dépens qu</w:t>
      </w:r>
      <w:r w:rsidR="00D3481F" w:rsidRPr="00D3481F">
        <w:t>’</w:t>
      </w:r>
      <w:r w:rsidRPr="00D3481F">
        <w:t>il dit avoir engagés dans le cadre de la procédure menée devant les juridictions internes et 4 085,54 EUR pour ceux qu</w:t>
      </w:r>
      <w:r w:rsidR="00D3481F" w:rsidRPr="00D3481F">
        <w:t>’</w:t>
      </w:r>
      <w:r w:rsidRPr="00D3481F">
        <w:t>il aurait engagés aux fins de la procédure menée devant la Cour.</w:t>
      </w:r>
    </w:p>
    <w:p w:rsidR="007F7726" w:rsidRPr="00D3481F" w:rsidRDefault="007F7726" w:rsidP="00D3481F">
      <w:pPr>
        <w:pStyle w:val="JuPara"/>
      </w:pPr>
      <w:r w:rsidRPr="00D3481F">
        <w:fldChar w:fldCharType="begin"/>
      </w:r>
      <w:r w:rsidRPr="00D3481F">
        <w:instrText xml:space="preserve"> SEQ level0 \*arabic </w:instrText>
      </w:r>
      <w:r w:rsidRPr="00D3481F">
        <w:fldChar w:fldCharType="separate"/>
      </w:r>
      <w:r w:rsidR="00D3481F" w:rsidRPr="00D3481F">
        <w:rPr>
          <w:noProof/>
        </w:rPr>
        <w:t>94</w:t>
      </w:r>
      <w:r w:rsidRPr="00D3481F">
        <w:fldChar w:fldCharType="end"/>
      </w:r>
      <w:r w:rsidRPr="00D3481F">
        <w:t>.  </w:t>
      </w:r>
      <w:r w:rsidRPr="00D3481F">
        <w:rPr>
          <w:rFonts w:ascii="Times New Roman" w:hAnsi="Times New Roman" w:cs="Times New Roman"/>
          <w:color w:val="000000"/>
        </w:rPr>
        <w:t>Le Gouvernement estime que cette demande de remboursement doit être rejetée.</w:t>
      </w:r>
    </w:p>
    <w:p w:rsidR="007F7726" w:rsidRPr="00D3481F" w:rsidRDefault="007F7726" w:rsidP="00D3481F">
      <w:pPr>
        <w:pStyle w:val="JuPara"/>
      </w:pPr>
      <w:r w:rsidRPr="00D3481F">
        <w:fldChar w:fldCharType="begin"/>
      </w:r>
      <w:r w:rsidRPr="00D3481F">
        <w:instrText xml:space="preserve"> SEQ level0 \*arabic </w:instrText>
      </w:r>
      <w:r w:rsidRPr="00D3481F">
        <w:fldChar w:fldCharType="separate"/>
      </w:r>
      <w:r w:rsidR="00D3481F" w:rsidRPr="00D3481F">
        <w:rPr>
          <w:noProof/>
        </w:rPr>
        <w:t>95</w:t>
      </w:r>
      <w:r w:rsidRPr="00D3481F">
        <w:fldChar w:fldCharType="end"/>
      </w:r>
      <w:r w:rsidRPr="00D3481F">
        <w:t>.  Selon la jurisprudence de la Cour, un requérant ne peut obtenir le remboursement de ses frais et dépens que dans la mesure où se trouvent établis leur réalité, leur nécessité et le caractère raisonnable de leur taux. En l</w:t>
      </w:r>
      <w:r w:rsidR="00D3481F" w:rsidRPr="00D3481F">
        <w:t>’</w:t>
      </w:r>
      <w:r w:rsidRPr="00D3481F">
        <w:t>espèce, compte tenu des documents en sa possession et des critères susmentionnés, la Cour juge raisonnable d</w:t>
      </w:r>
      <w:r w:rsidR="00D3481F" w:rsidRPr="00D3481F">
        <w:t>’</w:t>
      </w:r>
      <w:r w:rsidRPr="00D3481F">
        <w:t xml:space="preserve">allouer au requérant la somme de </w:t>
      </w:r>
      <w:r w:rsidRPr="00D3481F">
        <w:lastRenderedPageBreak/>
        <w:t>15 000 EUR tous frais confondus, plus tout montant pouvant être dû sur cette somme à titre d</w:t>
      </w:r>
      <w:r w:rsidR="00D3481F" w:rsidRPr="00D3481F">
        <w:t>’</w:t>
      </w:r>
      <w:r w:rsidRPr="00D3481F">
        <w:t>impôt.</w:t>
      </w:r>
    </w:p>
    <w:p w:rsidR="007F7726" w:rsidRPr="00D3481F" w:rsidRDefault="007F7726" w:rsidP="00D3481F">
      <w:pPr>
        <w:pStyle w:val="JuHA"/>
      </w:pPr>
      <w:r w:rsidRPr="00D3481F">
        <w:t>Intérêts moratoires</w:t>
      </w:r>
    </w:p>
    <w:p w:rsidR="007F7726" w:rsidRPr="00D3481F" w:rsidRDefault="007F7726" w:rsidP="00D3481F">
      <w:pPr>
        <w:pStyle w:val="JuPara"/>
      </w:pPr>
      <w:r w:rsidRPr="00D3481F">
        <w:fldChar w:fldCharType="begin"/>
      </w:r>
      <w:r w:rsidRPr="00D3481F">
        <w:instrText xml:space="preserve"> SEQ level0 \*arabic </w:instrText>
      </w:r>
      <w:r w:rsidRPr="00D3481F">
        <w:fldChar w:fldCharType="separate"/>
      </w:r>
      <w:r w:rsidR="00D3481F" w:rsidRPr="00D3481F">
        <w:rPr>
          <w:noProof/>
        </w:rPr>
        <w:t>96</w:t>
      </w:r>
      <w:r w:rsidRPr="00D3481F">
        <w:fldChar w:fldCharType="end"/>
      </w:r>
      <w:r w:rsidRPr="00D3481F">
        <w:t>.  La Cour juge approprié de calquer le taux des intérêts moratoires sur le taux d</w:t>
      </w:r>
      <w:r w:rsidR="00D3481F" w:rsidRPr="00D3481F">
        <w:t>’</w:t>
      </w:r>
      <w:r w:rsidRPr="00D3481F">
        <w:t>intérêt de la facilité de prêt marginal de la Banque centrale européenne majoré de trois points de pourcentage.</w:t>
      </w:r>
    </w:p>
    <w:p w:rsidR="007F7726" w:rsidRPr="00D3481F" w:rsidRDefault="007F7726" w:rsidP="00620C77">
      <w:pPr>
        <w:pStyle w:val="JuHHead"/>
        <w:spacing w:before="360" w:beforeAutospacing="0"/>
      </w:pPr>
      <w:r w:rsidRPr="00D3481F">
        <w:t xml:space="preserve">PAR CES MOTIFS, LA COUR, </w:t>
      </w:r>
      <w:r w:rsidRPr="00D3481F">
        <w:rPr>
          <w:caps w:val="0"/>
        </w:rPr>
        <w:t>À L</w:t>
      </w:r>
      <w:r w:rsidR="00D3481F" w:rsidRPr="00D3481F">
        <w:rPr>
          <w:caps w:val="0"/>
        </w:rPr>
        <w:t>’</w:t>
      </w:r>
      <w:r w:rsidRPr="00D3481F">
        <w:rPr>
          <w:caps w:val="0"/>
        </w:rPr>
        <w:t>UNANIMITÉ</w:t>
      </w:r>
      <w:r w:rsidRPr="00D3481F">
        <w:t>,</w:t>
      </w:r>
    </w:p>
    <w:p w:rsidR="007F7726" w:rsidRPr="00D3481F" w:rsidRDefault="007F7726" w:rsidP="00D3481F">
      <w:pPr>
        <w:pStyle w:val="JuList"/>
        <w:numPr>
          <w:ilvl w:val="0"/>
          <w:numId w:val="2"/>
        </w:numPr>
        <w:ind w:left="0" w:firstLine="0"/>
      </w:pPr>
      <w:r w:rsidRPr="00D3481F">
        <w:rPr>
          <w:i/>
        </w:rPr>
        <w:t>Déclare</w:t>
      </w:r>
      <w:r w:rsidRPr="00D3481F">
        <w:t xml:space="preserve"> la requête recevable ;</w:t>
      </w:r>
    </w:p>
    <w:p w:rsidR="007F7726" w:rsidRPr="00D3481F" w:rsidRDefault="007F7726" w:rsidP="00D3481F">
      <w:pPr>
        <w:pStyle w:val="JuList"/>
        <w:numPr>
          <w:ilvl w:val="0"/>
          <w:numId w:val="2"/>
        </w:numPr>
      </w:pPr>
      <w:r w:rsidRPr="00D3481F">
        <w:rPr>
          <w:i/>
        </w:rPr>
        <w:t>Dit</w:t>
      </w:r>
      <w:r w:rsidR="00187B9F" w:rsidRPr="00D3481F">
        <w:rPr>
          <w:i/>
        </w:rPr>
        <w:t xml:space="preserve"> </w:t>
      </w:r>
      <w:r w:rsidRPr="00D3481F">
        <w:t>qu</w:t>
      </w:r>
      <w:r w:rsidR="00D3481F" w:rsidRPr="00D3481F">
        <w:t>’</w:t>
      </w:r>
      <w:r w:rsidRPr="00D3481F">
        <w:t>il y a eu violation de l</w:t>
      </w:r>
      <w:r w:rsidR="00D3481F" w:rsidRPr="00D3481F">
        <w:t>’</w:t>
      </w:r>
      <w:r w:rsidRPr="00D3481F">
        <w:t>article 8 de la Convention ;</w:t>
      </w:r>
    </w:p>
    <w:p w:rsidR="00653331" w:rsidRPr="00D3481F" w:rsidRDefault="007F7726" w:rsidP="00D3481F">
      <w:pPr>
        <w:pStyle w:val="JuList"/>
        <w:numPr>
          <w:ilvl w:val="0"/>
          <w:numId w:val="2"/>
        </w:numPr>
      </w:pPr>
      <w:r w:rsidRPr="00D3481F">
        <w:rPr>
          <w:i/>
        </w:rPr>
        <w:t>Dit</w:t>
      </w:r>
      <w:r w:rsidRPr="00D3481F">
        <w:t>,</w:t>
      </w:r>
    </w:p>
    <w:p w:rsidR="007F7726" w:rsidRPr="00D3481F" w:rsidRDefault="007F7726" w:rsidP="00D3481F">
      <w:pPr>
        <w:pStyle w:val="JuLista"/>
        <w:tabs>
          <w:tab w:val="clear" w:pos="680"/>
          <w:tab w:val="num" w:pos="766"/>
        </w:tabs>
        <w:ind w:left="766"/>
      </w:pPr>
      <w:proofErr w:type="gramStart"/>
      <w:r w:rsidRPr="00D3481F">
        <w:t>que</w:t>
      </w:r>
      <w:proofErr w:type="gramEnd"/>
      <w:r w:rsidRPr="00D3481F">
        <w:t xml:space="preserve"> l</w:t>
      </w:r>
      <w:r w:rsidR="00D3481F" w:rsidRPr="00D3481F">
        <w:t>’</w:t>
      </w:r>
      <w:r w:rsidRPr="00D3481F">
        <w:t>État défendeur doit verser au requérant, dans un délai de trois mois à compter de la date à laquelle l</w:t>
      </w:r>
      <w:r w:rsidR="00D3481F" w:rsidRPr="00D3481F">
        <w:t>’</w:t>
      </w:r>
      <w:r w:rsidRPr="00D3481F">
        <w:t>arrêt sera devenu définitif conformément à l</w:t>
      </w:r>
      <w:r w:rsidR="00D3481F" w:rsidRPr="00D3481F">
        <w:t>’</w:t>
      </w:r>
      <w:r w:rsidRPr="00D3481F">
        <w:t>article 44 § 2 de la Convention, les sommes suivantes :</w:t>
      </w:r>
    </w:p>
    <w:p w:rsidR="007F7726" w:rsidRPr="00D3481F" w:rsidRDefault="007F7726" w:rsidP="00D3481F">
      <w:pPr>
        <w:pStyle w:val="JuListi"/>
        <w:numPr>
          <w:ilvl w:val="2"/>
          <w:numId w:val="2"/>
        </w:numPr>
      </w:pPr>
      <w:r w:rsidRPr="00D3481F">
        <w:t>13 000 EUR (treize mille euros), plus tout montant pouvant être dû sur cette somme à titre d</w:t>
      </w:r>
      <w:r w:rsidR="00D3481F" w:rsidRPr="00D3481F">
        <w:t>’</w:t>
      </w:r>
      <w:r w:rsidRPr="00D3481F">
        <w:t>impôt, pour dommage moral ;</w:t>
      </w:r>
    </w:p>
    <w:p w:rsidR="007F7726" w:rsidRPr="00D3481F" w:rsidRDefault="007F7726" w:rsidP="00D3481F">
      <w:pPr>
        <w:pStyle w:val="JuListi"/>
        <w:numPr>
          <w:ilvl w:val="2"/>
          <w:numId w:val="2"/>
        </w:numPr>
      </w:pPr>
      <w:r w:rsidRPr="00D3481F">
        <w:t>15 000 EUR (quinze mille euros), plus tout montant pouvant être dû sur cette somme à titre d</w:t>
      </w:r>
      <w:r w:rsidR="00D3481F" w:rsidRPr="00D3481F">
        <w:t>’</w:t>
      </w:r>
      <w:r w:rsidRPr="00D3481F">
        <w:t>impôt, pour frais et dépens ;</w:t>
      </w:r>
    </w:p>
    <w:p w:rsidR="007F7726" w:rsidRPr="00D3481F" w:rsidRDefault="007F7726" w:rsidP="00D3481F">
      <w:pPr>
        <w:pStyle w:val="JuLista"/>
        <w:tabs>
          <w:tab w:val="clear" w:pos="680"/>
          <w:tab w:val="num" w:pos="766"/>
        </w:tabs>
        <w:ind w:left="766"/>
      </w:pPr>
      <w:proofErr w:type="gramStart"/>
      <w:r w:rsidRPr="00D3481F">
        <w:t>qu</w:t>
      </w:r>
      <w:r w:rsidR="00D3481F" w:rsidRPr="00D3481F">
        <w:t>’</w:t>
      </w:r>
      <w:r w:rsidRPr="00D3481F">
        <w:t>à</w:t>
      </w:r>
      <w:proofErr w:type="gramEnd"/>
      <w:r w:rsidRPr="00D3481F">
        <w:t xml:space="preserve"> compter de l</w:t>
      </w:r>
      <w:r w:rsidR="00D3481F" w:rsidRPr="00D3481F">
        <w:t>’</w:t>
      </w:r>
      <w:r w:rsidRPr="00D3481F">
        <w:t>expiration dudit délai et jusqu</w:t>
      </w:r>
      <w:r w:rsidR="00D3481F" w:rsidRPr="00D3481F">
        <w:t>’</w:t>
      </w:r>
      <w:r w:rsidRPr="00D3481F">
        <w:t>au versement, ces montants seront à majorer d</w:t>
      </w:r>
      <w:r w:rsidR="00D3481F" w:rsidRPr="00D3481F">
        <w:t>’</w:t>
      </w:r>
      <w:r w:rsidRPr="00D3481F">
        <w:t>un intérêt simple à un taux égal à celui de la facilité de prêt marginal de la Banque centrale européenne applicable pendant cette période, augmenté de trois points de pourcentage ;</w:t>
      </w:r>
    </w:p>
    <w:p w:rsidR="00876F03" w:rsidRPr="00D3481F" w:rsidRDefault="007F7726" w:rsidP="00D3481F">
      <w:pPr>
        <w:pStyle w:val="JuList"/>
        <w:numPr>
          <w:ilvl w:val="0"/>
          <w:numId w:val="2"/>
        </w:numPr>
      </w:pPr>
      <w:r w:rsidRPr="00D3481F">
        <w:rPr>
          <w:i/>
          <w:iCs/>
        </w:rPr>
        <w:t>Rejette</w:t>
      </w:r>
      <w:r w:rsidRPr="00D3481F">
        <w:t xml:space="preserve"> le surplus de la demande de satisfaction équitable.</w:t>
      </w:r>
    </w:p>
    <w:p w:rsidR="00893F30" w:rsidRPr="00D3481F" w:rsidRDefault="00893F30" w:rsidP="00D3481F">
      <w:pPr>
        <w:pStyle w:val="JuParaLast"/>
      </w:pPr>
      <w:r w:rsidRPr="00D3481F">
        <w:t xml:space="preserve">Fait en français, puis communiqué par écrit le </w:t>
      </w:r>
      <w:r w:rsidR="007F7726" w:rsidRPr="00D3481F">
        <w:t>24 juin 2021</w:t>
      </w:r>
      <w:r w:rsidRPr="00D3481F">
        <w:t>, en application de l</w:t>
      </w:r>
      <w:r w:rsidR="00D3481F" w:rsidRPr="00D3481F">
        <w:t>’</w:t>
      </w:r>
      <w:r w:rsidRPr="00D3481F">
        <w:t>article 77 §§ 2 et 3 du règlement.</w:t>
      </w:r>
    </w:p>
    <w:p w:rsidR="00876F03" w:rsidRPr="00D3481F" w:rsidRDefault="007F7726" w:rsidP="00D3481F">
      <w:pPr>
        <w:pStyle w:val="JuSigned"/>
        <w:spacing w:before="840"/>
      </w:pPr>
      <w:r w:rsidRPr="00D3481F">
        <w:tab/>
        <w:t>Renata Degener</w:t>
      </w:r>
      <w:r w:rsidR="004344E6" w:rsidRPr="00D3481F">
        <w:tab/>
      </w:r>
      <w:r w:rsidRPr="00D3481F">
        <w:t>Ksenija Turković</w:t>
      </w:r>
      <w:r w:rsidR="004344E6" w:rsidRPr="00D3481F">
        <w:br/>
      </w:r>
      <w:r w:rsidR="004344E6" w:rsidRPr="00D3481F">
        <w:tab/>
      </w:r>
      <w:r w:rsidRPr="00D3481F">
        <w:t>Greffière</w:t>
      </w:r>
      <w:r w:rsidR="004344E6" w:rsidRPr="00D3481F">
        <w:tab/>
      </w:r>
      <w:r w:rsidRPr="00D3481F">
        <w:t>Présidente</w:t>
      </w:r>
    </w:p>
    <w:p w:rsidR="001C2B5C" w:rsidRPr="00D3481F" w:rsidRDefault="001C2B5C" w:rsidP="00D3481F"/>
    <w:p w:rsidR="00876F03" w:rsidRPr="00D3481F" w:rsidRDefault="00876F03" w:rsidP="00D3481F"/>
    <w:sectPr w:rsidR="00876F03" w:rsidRPr="00D3481F">
      <w:headerReference w:type="even" r:id="rId36"/>
      <w:headerReference w:type="default" r:id="rId37"/>
      <w:footerReference w:type="default" r:id="rId38"/>
      <w:footnotePr>
        <w:numRestart w:val="eachSect"/>
      </w:footnotePr>
      <w:pgSz w:w="11906" w:h="16838" w:code="9"/>
      <w:pgMar w:top="2274" w:right="2274" w:bottom="2274" w:left="2274" w:header="1701"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1A3" w:rsidRPr="007F7726" w:rsidRDefault="000911A3" w:rsidP="00516B59">
      <w:r w:rsidRPr="007F7726">
        <w:separator/>
      </w:r>
    </w:p>
  </w:endnote>
  <w:endnote w:type="continuationSeparator" w:id="0">
    <w:p w:rsidR="000911A3" w:rsidRPr="007F7726" w:rsidRDefault="000911A3" w:rsidP="00516B59">
      <w:r w:rsidRPr="007F772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12D" w:rsidRPr="007F7726" w:rsidRDefault="002E312D" w:rsidP="00954AD6">
    <w:pPr>
      <w:pStyle w:val="JuHeader"/>
    </w:pP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12D" w:rsidRPr="00150BFA" w:rsidRDefault="002E312D" w:rsidP="00653331">
    <w:pPr>
      <w:jc w:val="center"/>
    </w:pPr>
    <w:r>
      <w:rPr>
        <w:noProof/>
        <w:lang w:val="en-US" w:eastAsia="ja-JP"/>
      </w:rPr>
      <w:drawing>
        <wp:inline distT="0" distB="0" distL="0" distR="0" wp14:anchorId="1886F865" wp14:editId="0CF3E687">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2E312D" w:rsidRPr="007F7726" w:rsidRDefault="002E312D" w:rsidP="00F27D13">
    <w:pPr>
      <w:pStyle w:val="Pidipagina"/>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12D" w:rsidRPr="00150BFA" w:rsidRDefault="002E312D" w:rsidP="00653331">
    <w:pPr>
      <w:jc w:val="center"/>
    </w:pPr>
    <w:r>
      <w:rPr>
        <w:noProof/>
        <w:lang w:val="en-US" w:eastAsia="ja-JP"/>
      </w:rPr>
      <w:drawing>
        <wp:inline distT="0" distB="0" distL="0" distR="0" wp14:anchorId="1886F865" wp14:editId="0CF3E687">
          <wp:extent cx="771525" cy="619125"/>
          <wp:effectExtent l="0" t="0" r="9525" b="9525"/>
          <wp:docPr id="88" name="Picture 88"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2E312D" w:rsidRPr="007F7726" w:rsidRDefault="002E312D" w:rsidP="00902601">
    <w:pPr>
      <w:pStyle w:val="Pidipagina"/>
      <w:jc w:val="center"/>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12D" w:rsidRPr="00D01935" w:rsidRDefault="002E312D" w:rsidP="00662882">
    <w:pPr>
      <w:pStyle w:val="JuHead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1A3" w:rsidRPr="007F7726" w:rsidRDefault="000911A3" w:rsidP="00516B59">
      <w:r w:rsidRPr="007F7726">
        <w:separator/>
      </w:r>
    </w:p>
  </w:footnote>
  <w:footnote w:type="continuationSeparator" w:id="0">
    <w:p w:rsidR="000911A3" w:rsidRPr="007F7726" w:rsidRDefault="000911A3" w:rsidP="00516B59">
      <w:r w:rsidRPr="007F772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12D" w:rsidRDefault="002E312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12D" w:rsidRPr="00A45145" w:rsidRDefault="002E312D" w:rsidP="00653331">
    <w:pPr>
      <w:jc w:val="center"/>
    </w:pPr>
    <w:r>
      <w:rPr>
        <w:noProof/>
        <w:lang w:val="en-US" w:eastAsia="ja-JP"/>
      </w:rPr>
      <w:drawing>
        <wp:inline distT="0" distB="0" distL="0" distR="0" wp14:anchorId="37609D74" wp14:editId="10854475">
          <wp:extent cx="2962275" cy="1219200"/>
          <wp:effectExtent l="0" t="0" r="9525" b="0"/>
          <wp:docPr id="90" name="Picture 9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2E312D" w:rsidRPr="007F7726" w:rsidRDefault="002E312D" w:rsidP="0065333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12D" w:rsidRPr="00A45145" w:rsidRDefault="002E312D" w:rsidP="00653331">
    <w:pPr>
      <w:jc w:val="center"/>
    </w:pPr>
    <w:r>
      <w:rPr>
        <w:noProof/>
        <w:lang w:val="en-US" w:eastAsia="ja-JP"/>
      </w:rPr>
      <w:drawing>
        <wp:inline distT="0" distB="0" distL="0" distR="0" wp14:anchorId="37609D74" wp14:editId="10854475">
          <wp:extent cx="2962275" cy="1219200"/>
          <wp:effectExtent l="0" t="0" r="9525" b="0"/>
          <wp:docPr id="76" name="Picture 76"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2E312D" w:rsidRPr="007F7726" w:rsidRDefault="002E312D" w:rsidP="00902601">
    <w:pPr>
      <w:jc w:val="center"/>
      <w:rPr>
        <w:sz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12D" w:rsidRPr="00592C8D" w:rsidRDefault="002E312D" w:rsidP="00A21624">
    <w:pPr>
      <w:pStyle w:val="JuHeader"/>
      <w:rPr>
        <w:lang w:val="en-US"/>
      </w:rPr>
    </w:pPr>
    <w:r w:rsidRPr="00592C8D">
      <w:rPr>
        <w:lang w:val="en-US"/>
      </w:rPr>
      <w:t xml:space="preserve">ARRÊT </w:t>
    </w:r>
    <w:r>
      <w:rPr>
        <w:lang w:val="en-US"/>
      </w:rPr>
      <w:t>A.T. c. ITALIE</w:t>
    </w:r>
    <w:r w:rsidRPr="00592C8D">
      <w:rPr>
        <w:noProof/>
        <w:lang w:val="en-US"/>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12D" w:rsidRPr="00662882" w:rsidRDefault="002E312D" w:rsidP="00662882">
    <w:pPr>
      <w:pStyle w:val="JuHeader"/>
    </w:pPr>
    <w:r w:rsidRPr="00592C8D">
      <w:rPr>
        <w:lang w:val="en-US"/>
      </w:rPr>
      <w:t xml:space="preserve">ARRÊT </w:t>
    </w:r>
    <w:r>
      <w:rPr>
        <w:lang w:val="en-US"/>
      </w:rPr>
      <w:t>A.T. c. ITALIE</w:t>
    </w:r>
    <w:r w:rsidRPr="00592C8D">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D8668044"/>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85E6A40"/>
    <w:multiLevelType w:val="multilevel"/>
    <w:tmpl w:val="C36EE3E0"/>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56B9429C"/>
    <w:multiLevelType w:val="multilevel"/>
    <w:tmpl w:val="98544F5E"/>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8"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7"/>
  </w:num>
  <w:num w:numId="2">
    <w:abstractNumId w:val="13"/>
  </w:num>
  <w:num w:numId="3">
    <w:abstractNumId w:val="9"/>
  </w:num>
  <w:num w:numId="4">
    <w:abstractNumId w:val="14"/>
  </w:num>
  <w:num w:numId="5">
    <w:abstractNumId w:val="11"/>
  </w:num>
  <w:num w:numId="6">
    <w:abstractNumId w:val="10"/>
  </w:num>
  <w:num w:numId="7">
    <w:abstractNumId w:val="15"/>
  </w:num>
  <w:num w:numId="8">
    <w:abstractNumId w:val="12"/>
  </w:num>
  <w:num w:numId="9">
    <w:abstractNumId w:val="16"/>
  </w:num>
  <w:num w:numId="10">
    <w:abstractNumId w:val="18"/>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licationsApp" w:val="1"/>
    <w:docVar w:name="EMM" w:val="0"/>
    <w:docVar w:name="NBEMMDOC" w:val="0"/>
  </w:docVars>
  <w:rsids>
    <w:rsidRoot w:val="007F7726"/>
    <w:rsid w:val="000041F8"/>
    <w:rsid w:val="000042A8"/>
    <w:rsid w:val="00004308"/>
    <w:rsid w:val="00005BF0"/>
    <w:rsid w:val="00007154"/>
    <w:rsid w:val="000103AE"/>
    <w:rsid w:val="00011D69"/>
    <w:rsid w:val="00012AD3"/>
    <w:rsid w:val="00015C2D"/>
    <w:rsid w:val="00015F00"/>
    <w:rsid w:val="00022C1D"/>
    <w:rsid w:val="00034987"/>
    <w:rsid w:val="00051015"/>
    <w:rsid w:val="000602DF"/>
    <w:rsid w:val="00061B05"/>
    <w:rsid w:val="000632D5"/>
    <w:rsid w:val="000644EE"/>
    <w:rsid w:val="00080ECE"/>
    <w:rsid w:val="0009057B"/>
    <w:rsid w:val="000911A3"/>
    <w:rsid w:val="000925AD"/>
    <w:rsid w:val="000A20EB"/>
    <w:rsid w:val="000A24EB"/>
    <w:rsid w:val="000B5D17"/>
    <w:rsid w:val="000B6923"/>
    <w:rsid w:val="000C5F3C"/>
    <w:rsid w:val="000C6DCC"/>
    <w:rsid w:val="000D04C2"/>
    <w:rsid w:val="000D47AA"/>
    <w:rsid w:val="000D721F"/>
    <w:rsid w:val="000E069B"/>
    <w:rsid w:val="000E0E82"/>
    <w:rsid w:val="000E1DC5"/>
    <w:rsid w:val="000E223F"/>
    <w:rsid w:val="000E4AC8"/>
    <w:rsid w:val="000E7D45"/>
    <w:rsid w:val="000F1305"/>
    <w:rsid w:val="000F19D8"/>
    <w:rsid w:val="000F7851"/>
    <w:rsid w:val="00104E23"/>
    <w:rsid w:val="00111B0C"/>
    <w:rsid w:val="00117CD2"/>
    <w:rsid w:val="00120D6C"/>
    <w:rsid w:val="001257EC"/>
    <w:rsid w:val="00133D33"/>
    <w:rsid w:val="00134D64"/>
    <w:rsid w:val="00135A30"/>
    <w:rsid w:val="0013612C"/>
    <w:rsid w:val="00137FF6"/>
    <w:rsid w:val="00141650"/>
    <w:rsid w:val="001625AD"/>
    <w:rsid w:val="00162967"/>
    <w:rsid w:val="00162A12"/>
    <w:rsid w:val="00166530"/>
    <w:rsid w:val="00181508"/>
    <w:rsid w:val="001832BD"/>
    <w:rsid w:val="00187B9F"/>
    <w:rsid w:val="00193C48"/>
    <w:rsid w:val="001943B5"/>
    <w:rsid w:val="00194C5B"/>
    <w:rsid w:val="00195134"/>
    <w:rsid w:val="001A145B"/>
    <w:rsid w:val="001A674C"/>
    <w:rsid w:val="001B1CF9"/>
    <w:rsid w:val="001B3B24"/>
    <w:rsid w:val="001C0F98"/>
    <w:rsid w:val="001C2A42"/>
    <w:rsid w:val="001C2B5C"/>
    <w:rsid w:val="001D63ED"/>
    <w:rsid w:val="001D7348"/>
    <w:rsid w:val="001E035B"/>
    <w:rsid w:val="001E0961"/>
    <w:rsid w:val="001E3EAE"/>
    <w:rsid w:val="001E6F32"/>
    <w:rsid w:val="001F2145"/>
    <w:rsid w:val="001F39F4"/>
    <w:rsid w:val="001F4609"/>
    <w:rsid w:val="001F6262"/>
    <w:rsid w:val="001F67B0"/>
    <w:rsid w:val="001F7B3D"/>
    <w:rsid w:val="00204F24"/>
    <w:rsid w:val="00205F9F"/>
    <w:rsid w:val="00210338"/>
    <w:rsid w:val="002115FC"/>
    <w:rsid w:val="00212184"/>
    <w:rsid w:val="0021423C"/>
    <w:rsid w:val="00230D00"/>
    <w:rsid w:val="00231364"/>
    <w:rsid w:val="00231DF7"/>
    <w:rsid w:val="00231FD1"/>
    <w:rsid w:val="002339E0"/>
    <w:rsid w:val="00233CF8"/>
    <w:rsid w:val="0023575D"/>
    <w:rsid w:val="00237148"/>
    <w:rsid w:val="0024222D"/>
    <w:rsid w:val="00244B0E"/>
    <w:rsid w:val="00244F6C"/>
    <w:rsid w:val="002532C5"/>
    <w:rsid w:val="002546AE"/>
    <w:rsid w:val="00256F45"/>
    <w:rsid w:val="00260C03"/>
    <w:rsid w:val="0026540E"/>
    <w:rsid w:val="00275123"/>
    <w:rsid w:val="00282240"/>
    <w:rsid w:val="002840BD"/>
    <w:rsid w:val="002948AD"/>
    <w:rsid w:val="0029739C"/>
    <w:rsid w:val="002A01CC"/>
    <w:rsid w:val="002A61B1"/>
    <w:rsid w:val="002A663C"/>
    <w:rsid w:val="002B444B"/>
    <w:rsid w:val="002B5887"/>
    <w:rsid w:val="002B7E83"/>
    <w:rsid w:val="002C0E27"/>
    <w:rsid w:val="002C3040"/>
    <w:rsid w:val="002D022D"/>
    <w:rsid w:val="002D24BB"/>
    <w:rsid w:val="002D4CFD"/>
    <w:rsid w:val="002E312D"/>
    <w:rsid w:val="002F29AA"/>
    <w:rsid w:val="002F2AF7"/>
    <w:rsid w:val="002F7E1C"/>
    <w:rsid w:val="00301A75"/>
    <w:rsid w:val="00302F70"/>
    <w:rsid w:val="0030336F"/>
    <w:rsid w:val="0030375E"/>
    <w:rsid w:val="0030660C"/>
    <w:rsid w:val="00312A30"/>
    <w:rsid w:val="00316323"/>
    <w:rsid w:val="00320F72"/>
    <w:rsid w:val="0032463E"/>
    <w:rsid w:val="00326224"/>
    <w:rsid w:val="00337EE4"/>
    <w:rsid w:val="00340FFD"/>
    <w:rsid w:val="003506B1"/>
    <w:rsid w:val="00356AC7"/>
    <w:rsid w:val="003609FA"/>
    <w:rsid w:val="00361D45"/>
    <w:rsid w:val="00367B4F"/>
    <w:rsid w:val="003710C8"/>
    <w:rsid w:val="003722CE"/>
    <w:rsid w:val="003750BE"/>
    <w:rsid w:val="00387B9D"/>
    <w:rsid w:val="0039364F"/>
    <w:rsid w:val="00396686"/>
    <w:rsid w:val="0039778E"/>
    <w:rsid w:val="003A37B8"/>
    <w:rsid w:val="003B4941"/>
    <w:rsid w:val="003B6A2E"/>
    <w:rsid w:val="003C5714"/>
    <w:rsid w:val="003C6B9F"/>
    <w:rsid w:val="003C6E2A"/>
    <w:rsid w:val="003D0299"/>
    <w:rsid w:val="003D32BE"/>
    <w:rsid w:val="003E3FE3"/>
    <w:rsid w:val="003E6D80"/>
    <w:rsid w:val="003E7A9C"/>
    <w:rsid w:val="003F05FA"/>
    <w:rsid w:val="003F244A"/>
    <w:rsid w:val="003F30B8"/>
    <w:rsid w:val="003F4C45"/>
    <w:rsid w:val="003F5F7B"/>
    <w:rsid w:val="003F7D64"/>
    <w:rsid w:val="00401F7D"/>
    <w:rsid w:val="0041177B"/>
    <w:rsid w:val="00414300"/>
    <w:rsid w:val="00425C67"/>
    <w:rsid w:val="00427E7A"/>
    <w:rsid w:val="00431C07"/>
    <w:rsid w:val="004344E6"/>
    <w:rsid w:val="00436C49"/>
    <w:rsid w:val="00445366"/>
    <w:rsid w:val="00447F5B"/>
    <w:rsid w:val="00456549"/>
    <w:rsid w:val="004604A0"/>
    <w:rsid w:val="00461DB0"/>
    <w:rsid w:val="00463926"/>
    <w:rsid w:val="00464C9A"/>
    <w:rsid w:val="00474F3D"/>
    <w:rsid w:val="00477E3A"/>
    <w:rsid w:val="00483E5F"/>
    <w:rsid w:val="00485FF9"/>
    <w:rsid w:val="004907F0"/>
    <w:rsid w:val="0049140B"/>
    <w:rsid w:val="004923A5"/>
    <w:rsid w:val="00496197"/>
    <w:rsid w:val="00496BFB"/>
    <w:rsid w:val="004A15C7"/>
    <w:rsid w:val="004B013B"/>
    <w:rsid w:val="004B112B"/>
    <w:rsid w:val="004C01E4"/>
    <w:rsid w:val="004C086C"/>
    <w:rsid w:val="004C1A3F"/>
    <w:rsid w:val="004C1F56"/>
    <w:rsid w:val="004C27BC"/>
    <w:rsid w:val="004D15F3"/>
    <w:rsid w:val="004D5311"/>
    <w:rsid w:val="004D5DCC"/>
    <w:rsid w:val="004E22F1"/>
    <w:rsid w:val="004F10AF"/>
    <w:rsid w:val="004F11A4"/>
    <w:rsid w:val="004F2389"/>
    <w:rsid w:val="004F304D"/>
    <w:rsid w:val="004F3F90"/>
    <w:rsid w:val="004F61BE"/>
    <w:rsid w:val="004F66B1"/>
    <w:rsid w:val="00511C07"/>
    <w:rsid w:val="00516B59"/>
    <w:rsid w:val="005173A6"/>
    <w:rsid w:val="00520BAA"/>
    <w:rsid w:val="00522ABA"/>
    <w:rsid w:val="00525208"/>
    <w:rsid w:val="005257A5"/>
    <w:rsid w:val="005264C0"/>
    <w:rsid w:val="00526A8A"/>
    <w:rsid w:val="00531DF2"/>
    <w:rsid w:val="005442EE"/>
    <w:rsid w:val="00547353"/>
    <w:rsid w:val="005474E7"/>
    <w:rsid w:val="005512A3"/>
    <w:rsid w:val="005578CE"/>
    <w:rsid w:val="00562781"/>
    <w:rsid w:val="00566E2B"/>
    <w:rsid w:val="0057271C"/>
    <w:rsid w:val="00572845"/>
    <w:rsid w:val="00576986"/>
    <w:rsid w:val="0058348D"/>
    <w:rsid w:val="00592772"/>
    <w:rsid w:val="00592C8D"/>
    <w:rsid w:val="0059574A"/>
    <w:rsid w:val="005A1B9B"/>
    <w:rsid w:val="005A6751"/>
    <w:rsid w:val="005B092E"/>
    <w:rsid w:val="005B152C"/>
    <w:rsid w:val="005B1EE0"/>
    <w:rsid w:val="005B2B24"/>
    <w:rsid w:val="005B4425"/>
    <w:rsid w:val="005B4B94"/>
    <w:rsid w:val="005C353F"/>
    <w:rsid w:val="005C3EE8"/>
    <w:rsid w:val="005D34F9"/>
    <w:rsid w:val="005D4190"/>
    <w:rsid w:val="005D67A3"/>
    <w:rsid w:val="005E2988"/>
    <w:rsid w:val="005E3085"/>
    <w:rsid w:val="005F51E1"/>
    <w:rsid w:val="00611C80"/>
    <w:rsid w:val="00613B21"/>
    <w:rsid w:val="00620692"/>
    <w:rsid w:val="00620C77"/>
    <w:rsid w:val="006242CA"/>
    <w:rsid w:val="00627507"/>
    <w:rsid w:val="00633717"/>
    <w:rsid w:val="006344E1"/>
    <w:rsid w:val="006361FD"/>
    <w:rsid w:val="00653331"/>
    <w:rsid w:val="006545C4"/>
    <w:rsid w:val="00654B7E"/>
    <w:rsid w:val="00657A85"/>
    <w:rsid w:val="00661971"/>
    <w:rsid w:val="00661CE8"/>
    <w:rsid w:val="006623D9"/>
    <w:rsid w:val="00662882"/>
    <w:rsid w:val="0066550C"/>
    <w:rsid w:val="006716F2"/>
    <w:rsid w:val="00682BF2"/>
    <w:rsid w:val="006859CE"/>
    <w:rsid w:val="00691270"/>
    <w:rsid w:val="00694BA8"/>
    <w:rsid w:val="006A037C"/>
    <w:rsid w:val="006A36F4"/>
    <w:rsid w:val="006A406F"/>
    <w:rsid w:val="006A5D3A"/>
    <w:rsid w:val="006C23D4"/>
    <w:rsid w:val="006C475E"/>
    <w:rsid w:val="006C7BB0"/>
    <w:rsid w:val="006D3237"/>
    <w:rsid w:val="006E2E37"/>
    <w:rsid w:val="006E3CF1"/>
    <w:rsid w:val="006E7E80"/>
    <w:rsid w:val="006F48CA"/>
    <w:rsid w:val="006F64DD"/>
    <w:rsid w:val="00715127"/>
    <w:rsid w:val="00715E8E"/>
    <w:rsid w:val="007172B0"/>
    <w:rsid w:val="00723580"/>
    <w:rsid w:val="00723755"/>
    <w:rsid w:val="00724AE2"/>
    <w:rsid w:val="0073136C"/>
    <w:rsid w:val="00731F0F"/>
    <w:rsid w:val="00733250"/>
    <w:rsid w:val="00735951"/>
    <w:rsid w:val="00741404"/>
    <w:rsid w:val="007449E5"/>
    <w:rsid w:val="00747FF0"/>
    <w:rsid w:val="007612E2"/>
    <w:rsid w:val="00764D4E"/>
    <w:rsid w:val="00765A1F"/>
    <w:rsid w:val="00775B6D"/>
    <w:rsid w:val="00776D68"/>
    <w:rsid w:val="007850EE"/>
    <w:rsid w:val="00785B95"/>
    <w:rsid w:val="00790AAD"/>
    <w:rsid w:val="00790E96"/>
    <w:rsid w:val="00793366"/>
    <w:rsid w:val="007971FF"/>
    <w:rsid w:val="007A3B68"/>
    <w:rsid w:val="007A4070"/>
    <w:rsid w:val="007A716F"/>
    <w:rsid w:val="007B270A"/>
    <w:rsid w:val="007C0695"/>
    <w:rsid w:val="007C419A"/>
    <w:rsid w:val="007C4CC8"/>
    <w:rsid w:val="007C5426"/>
    <w:rsid w:val="007C5798"/>
    <w:rsid w:val="007D4832"/>
    <w:rsid w:val="007E21B2"/>
    <w:rsid w:val="007E2C4E"/>
    <w:rsid w:val="007F1905"/>
    <w:rsid w:val="007F5793"/>
    <w:rsid w:val="007F7726"/>
    <w:rsid w:val="00801300"/>
    <w:rsid w:val="00802C64"/>
    <w:rsid w:val="0080523A"/>
    <w:rsid w:val="00805E52"/>
    <w:rsid w:val="008061D0"/>
    <w:rsid w:val="00810B38"/>
    <w:rsid w:val="00817829"/>
    <w:rsid w:val="008204C7"/>
    <w:rsid w:val="00820992"/>
    <w:rsid w:val="00823602"/>
    <w:rsid w:val="008255F5"/>
    <w:rsid w:val="0083014E"/>
    <w:rsid w:val="0083214A"/>
    <w:rsid w:val="00834220"/>
    <w:rsid w:val="00845723"/>
    <w:rsid w:val="00851EF9"/>
    <w:rsid w:val="008577FD"/>
    <w:rsid w:val="00860B03"/>
    <w:rsid w:val="0086497A"/>
    <w:rsid w:val="008713A1"/>
    <w:rsid w:val="00873D9C"/>
    <w:rsid w:val="008748BE"/>
    <w:rsid w:val="008754AB"/>
    <w:rsid w:val="00876A02"/>
    <w:rsid w:val="00876F03"/>
    <w:rsid w:val="0088060C"/>
    <w:rsid w:val="00891107"/>
    <w:rsid w:val="00893576"/>
    <w:rsid w:val="00893E73"/>
    <w:rsid w:val="00893F30"/>
    <w:rsid w:val="00895F5B"/>
    <w:rsid w:val="008B02DC"/>
    <w:rsid w:val="008B2698"/>
    <w:rsid w:val="008B57CE"/>
    <w:rsid w:val="008C26DE"/>
    <w:rsid w:val="008D2225"/>
    <w:rsid w:val="008D4752"/>
    <w:rsid w:val="008E271C"/>
    <w:rsid w:val="008E418E"/>
    <w:rsid w:val="008E5BC6"/>
    <w:rsid w:val="008E6A25"/>
    <w:rsid w:val="008E7A1B"/>
    <w:rsid w:val="008F5193"/>
    <w:rsid w:val="009013A7"/>
    <w:rsid w:val="009017FB"/>
    <w:rsid w:val="009017FC"/>
    <w:rsid w:val="009020E3"/>
    <w:rsid w:val="00902601"/>
    <w:rsid w:val="0090506B"/>
    <w:rsid w:val="009050C9"/>
    <w:rsid w:val="009066FC"/>
    <w:rsid w:val="009140A3"/>
    <w:rsid w:val="009144A2"/>
    <w:rsid w:val="0091510C"/>
    <w:rsid w:val="009259AC"/>
    <w:rsid w:val="00926F38"/>
    <w:rsid w:val="00934301"/>
    <w:rsid w:val="00936CD1"/>
    <w:rsid w:val="009375A5"/>
    <w:rsid w:val="00941747"/>
    <w:rsid w:val="00941EFB"/>
    <w:rsid w:val="00947AFB"/>
    <w:rsid w:val="00951D7D"/>
    <w:rsid w:val="00954AD6"/>
    <w:rsid w:val="009630C7"/>
    <w:rsid w:val="00972B55"/>
    <w:rsid w:val="009743B7"/>
    <w:rsid w:val="00975039"/>
    <w:rsid w:val="00977227"/>
    <w:rsid w:val="0098228B"/>
    <w:rsid w:val="009828DA"/>
    <w:rsid w:val="00985BAB"/>
    <w:rsid w:val="009B1B5F"/>
    <w:rsid w:val="009B6673"/>
    <w:rsid w:val="009C191B"/>
    <w:rsid w:val="009C2BD6"/>
    <w:rsid w:val="009D2F52"/>
    <w:rsid w:val="009E16D2"/>
    <w:rsid w:val="009E1F32"/>
    <w:rsid w:val="009E776C"/>
    <w:rsid w:val="00A00672"/>
    <w:rsid w:val="00A132AD"/>
    <w:rsid w:val="00A1726E"/>
    <w:rsid w:val="00A204CF"/>
    <w:rsid w:val="00A21624"/>
    <w:rsid w:val="00A23D49"/>
    <w:rsid w:val="00A27004"/>
    <w:rsid w:val="00A30C29"/>
    <w:rsid w:val="00A34DD6"/>
    <w:rsid w:val="00A36819"/>
    <w:rsid w:val="00A36989"/>
    <w:rsid w:val="00A43628"/>
    <w:rsid w:val="00A43AA3"/>
    <w:rsid w:val="00A4783F"/>
    <w:rsid w:val="00A54192"/>
    <w:rsid w:val="00A6035E"/>
    <w:rsid w:val="00A6144C"/>
    <w:rsid w:val="00A66617"/>
    <w:rsid w:val="00A671F8"/>
    <w:rsid w:val="00A673A4"/>
    <w:rsid w:val="00A724AE"/>
    <w:rsid w:val="00A73329"/>
    <w:rsid w:val="00A75785"/>
    <w:rsid w:val="00A82359"/>
    <w:rsid w:val="00A865D2"/>
    <w:rsid w:val="00A94C20"/>
    <w:rsid w:val="00AA227F"/>
    <w:rsid w:val="00AA3BC7"/>
    <w:rsid w:val="00AA754A"/>
    <w:rsid w:val="00AB099E"/>
    <w:rsid w:val="00AB4328"/>
    <w:rsid w:val="00AB5628"/>
    <w:rsid w:val="00AC00C2"/>
    <w:rsid w:val="00AC5872"/>
    <w:rsid w:val="00AE0A2E"/>
    <w:rsid w:val="00AE354C"/>
    <w:rsid w:val="00AE546E"/>
    <w:rsid w:val="00AF4B07"/>
    <w:rsid w:val="00AF6186"/>
    <w:rsid w:val="00AF7A3A"/>
    <w:rsid w:val="00B009F4"/>
    <w:rsid w:val="00B160DB"/>
    <w:rsid w:val="00B20836"/>
    <w:rsid w:val="00B235BB"/>
    <w:rsid w:val="00B25320"/>
    <w:rsid w:val="00B25943"/>
    <w:rsid w:val="00B25D3B"/>
    <w:rsid w:val="00B27A44"/>
    <w:rsid w:val="00B30BBF"/>
    <w:rsid w:val="00B33C03"/>
    <w:rsid w:val="00B44E56"/>
    <w:rsid w:val="00B46543"/>
    <w:rsid w:val="00B47D33"/>
    <w:rsid w:val="00B52BE0"/>
    <w:rsid w:val="00B54133"/>
    <w:rsid w:val="00B701ED"/>
    <w:rsid w:val="00B751F4"/>
    <w:rsid w:val="00B8086C"/>
    <w:rsid w:val="00B840F7"/>
    <w:rsid w:val="00B861B4"/>
    <w:rsid w:val="00B86DFE"/>
    <w:rsid w:val="00B90990"/>
    <w:rsid w:val="00B922FF"/>
    <w:rsid w:val="00B9281E"/>
    <w:rsid w:val="00B93925"/>
    <w:rsid w:val="00B95187"/>
    <w:rsid w:val="00BA2D55"/>
    <w:rsid w:val="00BA71B1"/>
    <w:rsid w:val="00BB0637"/>
    <w:rsid w:val="00BB345F"/>
    <w:rsid w:val="00BB68EA"/>
    <w:rsid w:val="00BC1C27"/>
    <w:rsid w:val="00BC1F03"/>
    <w:rsid w:val="00BC6BBF"/>
    <w:rsid w:val="00BD1572"/>
    <w:rsid w:val="00BE14E3"/>
    <w:rsid w:val="00BE3774"/>
    <w:rsid w:val="00BE41E5"/>
    <w:rsid w:val="00BF4109"/>
    <w:rsid w:val="00BF4B9C"/>
    <w:rsid w:val="00BF4CC3"/>
    <w:rsid w:val="00C00E59"/>
    <w:rsid w:val="00C054C7"/>
    <w:rsid w:val="00C057B5"/>
    <w:rsid w:val="00C149F0"/>
    <w:rsid w:val="00C22687"/>
    <w:rsid w:val="00C25983"/>
    <w:rsid w:val="00C32E4D"/>
    <w:rsid w:val="00C333A0"/>
    <w:rsid w:val="00C36408"/>
    <w:rsid w:val="00C36A81"/>
    <w:rsid w:val="00C41974"/>
    <w:rsid w:val="00C45616"/>
    <w:rsid w:val="00C53F4A"/>
    <w:rsid w:val="00C54125"/>
    <w:rsid w:val="00C55B54"/>
    <w:rsid w:val="00C6098E"/>
    <w:rsid w:val="00C6152C"/>
    <w:rsid w:val="00C74810"/>
    <w:rsid w:val="00C81ACF"/>
    <w:rsid w:val="00C90D68"/>
    <w:rsid w:val="00C939FE"/>
    <w:rsid w:val="00CA4BDA"/>
    <w:rsid w:val="00CA7C61"/>
    <w:rsid w:val="00CB06E9"/>
    <w:rsid w:val="00CB1F66"/>
    <w:rsid w:val="00CB2951"/>
    <w:rsid w:val="00CD282B"/>
    <w:rsid w:val="00CD4C35"/>
    <w:rsid w:val="00CD7369"/>
    <w:rsid w:val="00CE0B0E"/>
    <w:rsid w:val="00CE3831"/>
    <w:rsid w:val="00D00ABB"/>
    <w:rsid w:val="00D02781"/>
    <w:rsid w:val="00D02EEC"/>
    <w:rsid w:val="00D03551"/>
    <w:rsid w:val="00D06A63"/>
    <w:rsid w:val="00D07E0E"/>
    <w:rsid w:val="00D11478"/>
    <w:rsid w:val="00D15ED0"/>
    <w:rsid w:val="00D21B3E"/>
    <w:rsid w:val="00D21C26"/>
    <w:rsid w:val="00D21FED"/>
    <w:rsid w:val="00D24251"/>
    <w:rsid w:val="00D343E2"/>
    <w:rsid w:val="00D3481F"/>
    <w:rsid w:val="00D361A2"/>
    <w:rsid w:val="00D44C2E"/>
    <w:rsid w:val="00D45414"/>
    <w:rsid w:val="00D54FF1"/>
    <w:rsid w:val="00D55E2C"/>
    <w:rsid w:val="00D566BD"/>
    <w:rsid w:val="00D57A4D"/>
    <w:rsid w:val="00D60AA7"/>
    <w:rsid w:val="00D62A67"/>
    <w:rsid w:val="00D6435F"/>
    <w:rsid w:val="00D75E28"/>
    <w:rsid w:val="00D772C2"/>
    <w:rsid w:val="00D8008E"/>
    <w:rsid w:val="00D82C45"/>
    <w:rsid w:val="00D908A8"/>
    <w:rsid w:val="00D977B6"/>
    <w:rsid w:val="00DA3634"/>
    <w:rsid w:val="00DA4A31"/>
    <w:rsid w:val="00DA7B04"/>
    <w:rsid w:val="00DB36C2"/>
    <w:rsid w:val="00DB5CBD"/>
    <w:rsid w:val="00DC169B"/>
    <w:rsid w:val="00DC2AB9"/>
    <w:rsid w:val="00DC63F0"/>
    <w:rsid w:val="00DD5382"/>
    <w:rsid w:val="00DD6EE5"/>
    <w:rsid w:val="00DE2362"/>
    <w:rsid w:val="00DE386C"/>
    <w:rsid w:val="00DE4D35"/>
    <w:rsid w:val="00DF098B"/>
    <w:rsid w:val="00DF11C4"/>
    <w:rsid w:val="00DF210C"/>
    <w:rsid w:val="00DF4B6A"/>
    <w:rsid w:val="00E02C09"/>
    <w:rsid w:val="00E04D59"/>
    <w:rsid w:val="00E07DA1"/>
    <w:rsid w:val="00E123CB"/>
    <w:rsid w:val="00E20E13"/>
    <w:rsid w:val="00E21DBC"/>
    <w:rsid w:val="00E275D7"/>
    <w:rsid w:val="00E27DBE"/>
    <w:rsid w:val="00E32AB1"/>
    <w:rsid w:val="00E36C71"/>
    <w:rsid w:val="00E40404"/>
    <w:rsid w:val="00E428FA"/>
    <w:rsid w:val="00E459C6"/>
    <w:rsid w:val="00E47589"/>
    <w:rsid w:val="00E64915"/>
    <w:rsid w:val="00E661D4"/>
    <w:rsid w:val="00E70091"/>
    <w:rsid w:val="00E720F5"/>
    <w:rsid w:val="00E76D47"/>
    <w:rsid w:val="00E849F7"/>
    <w:rsid w:val="00E90302"/>
    <w:rsid w:val="00E97396"/>
    <w:rsid w:val="00EA185E"/>
    <w:rsid w:val="00EA592A"/>
    <w:rsid w:val="00EB14E4"/>
    <w:rsid w:val="00EB182B"/>
    <w:rsid w:val="00EB32A5"/>
    <w:rsid w:val="00EB34ED"/>
    <w:rsid w:val="00EB4A37"/>
    <w:rsid w:val="00EB7BE0"/>
    <w:rsid w:val="00EC315E"/>
    <w:rsid w:val="00EC58D1"/>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66A2"/>
    <w:rsid w:val="00F27D13"/>
    <w:rsid w:val="00F32269"/>
    <w:rsid w:val="00F56A6F"/>
    <w:rsid w:val="00F5709C"/>
    <w:rsid w:val="00F626DA"/>
    <w:rsid w:val="00F64EF1"/>
    <w:rsid w:val="00F659F3"/>
    <w:rsid w:val="00F83589"/>
    <w:rsid w:val="00F8765F"/>
    <w:rsid w:val="00F90767"/>
    <w:rsid w:val="00F912E4"/>
    <w:rsid w:val="00F94531"/>
    <w:rsid w:val="00F9588E"/>
    <w:rsid w:val="00FA685B"/>
    <w:rsid w:val="00FB0C01"/>
    <w:rsid w:val="00FC18F2"/>
    <w:rsid w:val="00FC39E5"/>
    <w:rsid w:val="00FC3A78"/>
    <w:rsid w:val="00FD1005"/>
    <w:rsid w:val="00FD61AA"/>
    <w:rsid w:val="00FD6C75"/>
    <w:rsid w:val="00FD7649"/>
    <w:rsid w:val="00FE71B3"/>
    <w:rsid w:val="00FF42C5"/>
    <w:rsid w:val="00FF5A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653331"/>
    <w:rPr>
      <w:sz w:val="24"/>
      <w:szCs w:val="24"/>
      <w:lang w:val="fr-FR"/>
    </w:rPr>
  </w:style>
  <w:style w:type="paragraph" w:styleId="Titolo1">
    <w:name w:val="heading 1"/>
    <w:basedOn w:val="Normale"/>
    <w:next w:val="Normale"/>
    <w:link w:val="Titolo1Carattere"/>
    <w:uiPriority w:val="98"/>
    <w:semiHidden/>
    <w:rsid w:val="00653331"/>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653331"/>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653331"/>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653331"/>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653331"/>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653331"/>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653331"/>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653331"/>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653331"/>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653331"/>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653331"/>
    <w:rPr>
      <w:rFonts w:ascii="Tahoma" w:hAnsi="Tahoma" w:cs="Tahoma"/>
      <w:sz w:val="16"/>
      <w:szCs w:val="16"/>
      <w:lang w:val="fr-FR"/>
    </w:rPr>
  </w:style>
  <w:style w:type="character" w:styleId="Titolodellibro">
    <w:name w:val="Book Title"/>
    <w:uiPriority w:val="98"/>
    <w:semiHidden/>
    <w:qFormat/>
    <w:rsid w:val="00653331"/>
    <w:rPr>
      <w:i/>
      <w:iCs/>
      <w:smallCaps/>
      <w:spacing w:val="5"/>
    </w:rPr>
  </w:style>
  <w:style w:type="paragraph" w:customStyle="1" w:styleId="JuHeader">
    <w:name w:val="Ju_Header"/>
    <w:aliases w:val="_Header"/>
    <w:basedOn w:val="Intestazione"/>
    <w:uiPriority w:val="29"/>
    <w:qFormat/>
    <w:rsid w:val="00653331"/>
    <w:pPr>
      <w:tabs>
        <w:tab w:val="clear" w:pos="4536"/>
        <w:tab w:val="clear" w:pos="9072"/>
      </w:tabs>
      <w:jc w:val="center"/>
    </w:pPr>
    <w:rPr>
      <w:sz w:val="18"/>
    </w:rPr>
  </w:style>
  <w:style w:type="paragraph" w:customStyle="1" w:styleId="DummyStyle">
    <w:name w:val="Dummy_Style"/>
    <w:aliases w:val="_Dummy"/>
    <w:basedOn w:val="Normale"/>
    <w:semiHidden/>
    <w:qFormat/>
    <w:rsid w:val="00653331"/>
    <w:rPr>
      <w:color w:val="00B050"/>
      <w:sz w:val="22"/>
    </w:rPr>
  </w:style>
  <w:style w:type="character" w:styleId="Enfasigrassetto">
    <w:name w:val="Strong"/>
    <w:uiPriority w:val="98"/>
    <w:semiHidden/>
    <w:qFormat/>
    <w:rsid w:val="00653331"/>
    <w:rPr>
      <w:b/>
      <w:bCs/>
    </w:rPr>
  </w:style>
  <w:style w:type="paragraph" w:styleId="Nessunaspaziatura">
    <w:name w:val="No Spacing"/>
    <w:basedOn w:val="Normale"/>
    <w:link w:val="NessunaspaziaturaCarattere"/>
    <w:uiPriority w:val="98"/>
    <w:semiHidden/>
    <w:qFormat/>
    <w:rsid w:val="00653331"/>
  </w:style>
  <w:style w:type="character" w:customStyle="1" w:styleId="NessunaspaziaturaCarattere">
    <w:name w:val="Nessuna spaziatura Carattere"/>
    <w:basedOn w:val="Carpredefinitoparagrafo"/>
    <w:link w:val="Nessunaspaziatura"/>
    <w:uiPriority w:val="98"/>
    <w:rsid w:val="00653331"/>
    <w:rPr>
      <w:sz w:val="24"/>
      <w:szCs w:val="24"/>
      <w:lang w:val="fr-FR"/>
    </w:rPr>
  </w:style>
  <w:style w:type="paragraph" w:customStyle="1" w:styleId="JuQuot">
    <w:name w:val="Ju_Quot"/>
    <w:aliases w:val="_Quote"/>
    <w:basedOn w:val="NormalJustified"/>
    <w:uiPriority w:val="20"/>
    <w:qFormat/>
    <w:rsid w:val="00653331"/>
    <w:pPr>
      <w:spacing w:before="120" w:after="120"/>
      <w:ind w:left="425" w:firstLine="142"/>
    </w:pPr>
    <w:rPr>
      <w:sz w:val="20"/>
    </w:rPr>
  </w:style>
  <w:style w:type="paragraph" w:customStyle="1" w:styleId="JuList">
    <w:name w:val="Ju_List"/>
    <w:aliases w:val="_List_1"/>
    <w:basedOn w:val="NormalJustified"/>
    <w:uiPriority w:val="23"/>
    <w:qFormat/>
    <w:rsid w:val="00653331"/>
    <w:pPr>
      <w:numPr>
        <w:numId w:val="8"/>
      </w:numPr>
      <w:spacing w:before="280" w:after="60"/>
    </w:pPr>
  </w:style>
  <w:style w:type="paragraph" w:customStyle="1" w:styleId="JuLista">
    <w:name w:val="Ju_List_a"/>
    <w:aliases w:val="_List_2"/>
    <w:basedOn w:val="NormalJustified"/>
    <w:uiPriority w:val="23"/>
    <w:rsid w:val="00653331"/>
    <w:pPr>
      <w:numPr>
        <w:ilvl w:val="1"/>
        <w:numId w:val="8"/>
      </w:numPr>
    </w:pPr>
  </w:style>
  <w:style w:type="paragraph" w:customStyle="1" w:styleId="JuListi">
    <w:name w:val="Ju_List_i"/>
    <w:aliases w:val="_List_3"/>
    <w:basedOn w:val="NormalJustified"/>
    <w:uiPriority w:val="23"/>
    <w:rsid w:val="00653331"/>
    <w:pPr>
      <w:numPr>
        <w:ilvl w:val="2"/>
        <w:numId w:val="8"/>
      </w:numPr>
    </w:pPr>
  </w:style>
  <w:style w:type="paragraph" w:customStyle="1" w:styleId="DecHTitle">
    <w:name w:val="Dec_H_Title"/>
    <w:aliases w:val="_Title_1"/>
    <w:basedOn w:val="JuPara"/>
    <w:next w:val="JuPara"/>
    <w:uiPriority w:val="38"/>
    <w:qFormat/>
    <w:rsid w:val="00653331"/>
    <w:pPr>
      <w:keepNext/>
      <w:keepLines/>
      <w:spacing w:after="240"/>
      <w:ind w:firstLine="0"/>
      <w:jc w:val="center"/>
      <w:outlineLvl w:val="0"/>
    </w:pPr>
    <w:rPr>
      <w:rFonts w:asciiTheme="majorHAnsi" w:hAnsiTheme="majorHAnsi"/>
      <w:sz w:val="28"/>
    </w:rPr>
  </w:style>
  <w:style w:type="paragraph" w:customStyle="1" w:styleId="JuHArticle">
    <w:name w:val="Ju_H_Article"/>
    <w:aliases w:val="_Title_Quote"/>
    <w:basedOn w:val="Normale"/>
    <w:next w:val="JuQuot"/>
    <w:uiPriority w:val="19"/>
    <w:qFormat/>
    <w:rsid w:val="00653331"/>
    <w:pPr>
      <w:keepNext/>
      <w:spacing w:before="100" w:beforeAutospacing="1" w:after="120"/>
      <w:contextualSpacing/>
      <w:jc w:val="center"/>
    </w:pPr>
    <w:rPr>
      <w:b/>
      <w:sz w:val="20"/>
    </w:rPr>
  </w:style>
  <w:style w:type="paragraph" w:customStyle="1" w:styleId="ECHRCoverTitle4">
    <w:name w:val="ECHR_Cover_Title_4"/>
    <w:aliases w:val="_Title_4"/>
    <w:basedOn w:val="JuPara"/>
    <w:next w:val="JuPara"/>
    <w:uiPriority w:val="38"/>
    <w:qFormat/>
    <w:rsid w:val="00653331"/>
    <w:pPr>
      <w:keepNext/>
      <w:keepLines/>
      <w:tabs>
        <w:tab w:val="right" w:pos="7938"/>
      </w:tabs>
      <w:ind w:firstLine="0"/>
      <w:jc w:val="center"/>
    </w:pPr>
    <w:rPr>
      <w:i/>
    </w:rPr>
  </w:style>
  <w:style w:type="numbering" w:customStyle="1" w:styleId="ECHRA1StyleBulletedSquare">
    <w:name w:val="ECHR_A1_Style_Bulleted_Square"/>
    <w:basedOn w:val="Nessunelenco"/>
    <w:rsid w:val="00653331"/>
    <w:pPr>
      <w:numPr>
        <w:numId w:val="7"/>
      </w:numPr>
    </w:pPr>
  </w:style>
  <w:style w:type="paragraph" w:customStyle="1" w:styleId="JuHHead">
    <w:name w:val="Ju_H_Head"/>
    <w:aliases w:val="_Head_1"/>
    <w:basedOn w:val="Titolo1"/>
    <w:next w:val="JuPara"/>
    <w:uiPriority w:val="17"/>
    <w:qFormat/>
    <w:rsid w:val="00653331"/>
    <w:pPr>
      <w:keepNext/>
      <w:keepLines/>
      <w:numPr>
        <w:numId w:val="3"/>
      </w:numPr>
      <w:spacing w:before="100" w:beforeAutospacing="1" w:after="240"/>
      <w:contextualSpacing w:val="0"/>
      <w:jc w:val="both"/>
    </w:pPr>
    <w:rPr>
      <w:b w:val="0"/>
      <w:caps/>
      <w:color w:val="auto"/>
    </w:rPr>
  </w:style>
  <w:style w:type="numbering" w:customStyle="1" w:styleId="ECHRA1StyleList">
    <w:name w:val="ECHR_A1_Style_List"/>
    <w:basedOn w:val="Nessunelenco"/>
    <w:uiPriority w:val="99"/>
    <w:rsid w:val="00653331"/>
    <w:pPr>
      <w:numPr>
        <w:numId w:val="8"/>
      </w:numPr>
    </w:pPr>
  </w:style>
  <w:style w:type="paragraph" w:customStyle="1" w:styleId="JuSigned">
    <w:name w:val="Ju_Signed"/>
    <w:aliases w:val="_Signature"/>
    <w:basedOn w:val="Normale"/>
    <w:next w:val="JuPara"/>
    <w:uiPriority w:val="31"/>
    <w:qFormat/>
    <w:rsid w:val="00653331"/>
    <w:pPr>
      <w:tabs>
        <w:tab w:val="center" w:pos="851"/>
        <w:tab w:val="center" w:pos="6407"/>
      </w:tabs>
      <w:spacing w:before="720"/>
    </w:pPr>
  </w:style>
  <w:style w:type="paragraph" w:styleId="Titolo">
    <w:name w:val="Title"/>
    <w:basedOn w:val="Normale"/>
    <w:next w:val="Normale"/>
    <w:link w:val="TitoloCarattere"/>
    <w:uiPriority w:val="98"/>
    <w:semiHidden/>
    <w:qFormat/>
    <w:rsid w:val="00653331"/>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rsid w:val="00653331"/>
    <w:rPr>
      <w:rFonts w:asciiTheme="majorHAnsi" w:eastAsiaTheme="majorEastAsia" w:hAnsiTheme="majorHAnsi" w:cstheme="majorBidi"/>
      <w:spacing w:val="5"/>
      <w:sz w:val="52"/>
      <w:szCs w:val="52"/>
      <w:lang w:val="fr-FR" w:bidi="en-US"/>
    </w:rPr>
  </w:style>
  <w:style w:type="numbering" w:customStyle="1" w:styleId="ECHRA1StyleNumberedList">
    <w:name w:val="ECHR_A1_Style_Numbered_List"/>
    <w:basedOn w:val="Nessunelenco"/>
    <w:rsid w:val="00653331"/>
    <w:pPr>
      <w:numPr>
        <w:numId w:val="9"/>
      </w:numPr>
    </w:pPr>
  </w:style>
  <w:style w:type="table" w:customStyle="1" w:styleId="ECHRTable2019">
    <w:name w:val="ECHR_Table_2019"/>
    <w:basedOn w:val="Tabellanormale"/>
    <w:uiPriority w:val="99"/>
    <w:rsid w:val="00653331"/>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A00672"/>
    <w:rPr>
      <w:sz w:val="8"/>
    </w:rPr>
  </w:style>
  <w:style w:type="paragraph" w:customStyle="1" w:styleId="JuCourt">
    <w:name w:val="Ju_Court"/>
    <w:aliases w:val="_Court_Names"/>
    <w:basedOn w:val="Normale"/>
    <w:next w:val="Normale"/>
    <w:uiPriority w:val="32"/>
    <w:qFormat/>
    <w:rsid w:val="00653331"/>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e"/>
    <w:uiPriority w:val="30"/>
    <w:qFormat/>
    <w:rsid w:val="00653331"/>
    <w:pPr>
      <w:tabs>
        <w:tab w:val="center" w:pos="6407"/>
      </w:tabs>
      <w:spacing w:before="720"/>
      <w:jc w:val="right"/>
    </w:pPr>
  </w:style>
  <w:style w:type="paragraph" w:customStyle="1" w:styleId="JuHIRoman">
    <w:name w:val="Ju_H_I_Roman"/>
    <w:aliases w:val="_Head_2"/>
    <w:basedOn w:val="Titolo2"/>
    <w:next w:val="JuPara"/>
    <w:uiPriority w:val="17"/>
    <w:qFormat/>
    <w:rsid w:val="00653331"/>
    <w:pPr>
      <w:keepNext/>
      <w:keepLines/>
      <w:numPr>
        <w:ilvl w:val="1"/>
        <w:numId w:val="3"/>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653331"/>
    <w:pPr>
      <w:keepNext/>
      <w:keepLines/>
      <w:numPr>
        <w:ilvl w:val="2"/>
        <w:numId w:val="3"/>
      </w:numPr>
      <w:spacing w:before="100" w:beforeAutospacing="1" w:after="240" w:line="240" w:lineRule="auto"/>
      <w:jc w:val="both"/>
    </w:pPr>
    <w:rPr>
      <w:color w:val="auto"/>
      <w:sz w:val="24"/>
    </w:rPr>
  </w:style>
  <w:style w:type="paragraph" w:customStyle="1" w:styleId="JuH1">
    <w:name w:val="Ju_H_1."/>
    <w:aliases w:val="_Head_4"/>
    <w:basedOn w:val="Titolo4"/>
    <w:next w:val="JuPara"/>
    <w:uiPriority w:val="17"/>
    <w:rsid w:val="00653331"/>
    <w:pPr>
      <w:keepNext/>
      <w:keepLines/>
      <w:numPr>
        <w:ilvl w:val="3"/>
        <w:numId w:val="3"/>
      </w:numPr>
      <w:spacing w:before="100" w:beforeAutospacing="1" w:after="120"/>
      <w:jc w:val="both"/>
    </w:pPr>
    <w:rPr>
      <w:b w:val="0"/>
      <w:color w:val="auto"/>
      <w:sz w:val="24"/>
    </w:rPr>
  </w:style>
  <w:style w:type="paragraph" w:styleId="Intestazione">
    <w:name w:val="header"/>
    <w:basedOn w:val="Normale"/>
    <w:link w:val="IntestazioneCarattere"/>
    <w:uiPriority w:val="98"/>
    <w:semiHidden/>
    <w:rsid w:val="00653331"/>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653331"/>
    <w:rPr>
      <w:sz w:val="24"/>
      <w:szCs w:val="24"/>
      <w:lang w:val="fr-FR"/>
    </w:rPr>
  </w:style>
  <w:style w:type="character" w:customStyle="1" w:styleId="Titolo1Carattere">
    <w:name w:val="Titolo 1 Carattere"/>
    <w:basedOn w:val="Carpredefinitoparagrafo"/>
    <w:link w:val="Titolo1"/>
    <w:uiPriority w:val="98"/>
    <w:rsid w:val="00653331"/>
    <w:rPr>
      <w:rFonts w:asciiTheme="majorHAnsi" w:eastAsiaTheme="majorEastAsia" w:hAnsiTheme="majorHAnsi" w:cstheme="majorBidi"/>
      <w:b/>
      <w:bCs/>
      <w:color w:val="333333"/>
      <w:sz w:val="28"/>
      <w:szCs w:val="28"/>
      <w:lang w:val="fr-FR"/>
    </w:rPr>
  </w:style>
  <w:style w:type="paragraph" w:customStyle="1" w:styleId="JuHa0">
    <w:name w:val="Ju_H_a"/>
    <w:aliases w:val="_Head_5"/>
    <w:basedOn w:val="Titolo5"/>
    <w:next w:val="JuPara"/>
    <w:uiPriority w:val="17"/>
    <w:rsid w:val="00653331"/>
    <w:pPr>
      <w:keepNext/>
      <w:keepLines/>
      <w:numPr>
        <w:ilvl w:val="4"/>
        <w:numId w:val="3"/>
      </w:numPr>
      <w:spacing w:before="100" w:beforeAutospacing="1" w:after="120"/>
      <w:jc w:val="both"/>
    </w:pPr>
    <w:rPr>
      <w:color w:val="auto"/>
      <w:sz w:val="20"/>
    </w:rPr>
  </w:style>
  <w:style w:type="paragraph" w:customStyle="1" w:styleId="JuHi">
    <w:name w:val="Ju_H_i"/>
    <w:aliases w:val="_Head_6"/>
    <w:basedOn w:val="Titolo6"/>
    <w:next w:val="JuPara"/>
    <w:uiPriority w:val="17"/>
    <w:rsid w:val="00653331"/>
    <w:pPr>
      <w:keepNext/>
      <w:keepLines/>
      <w:numPr>
        <w:ilvl w:val="5"/>
        <w:numId w:val="3"/>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2Carattere">
    <w:name w:val="Titolo 2 Carattere"/>
    <w:basedOn w:val="Carpredefinitoparagrafo"/>
    <w:link w:val="Titolo2"/>
    <w:uiPriority w:val="98"/>
    <w:semiHidden/>
    <w:rsid w:val="00653331"/>
    <w:rPr>
      <w:rFonts w:asciiTheme="majorHAnsi" w:eastAsiaTheme="majorEastAsia" w:hAnsiTheme="majorHAnsi" w:cstheme="majorBidi"/>
      <w:b/>
      <w:bCs/>
      <w:color w:val="4D4D4D"/>
      <w:sz w:val="26"/>
      <w:szCs w:val="26"/>
      <w:lang w:val="fr-FR"/>
    </w:rPr>
  </w:style>
  <w:style w:type="paragraph" w:customStyle="1" w:styleId="JuHalpha">
    <w:name w:val="Ju_H_alpha"/>
    <w:aliases w:val="_Head_7"/>
    <w:basedOn w:val="Titolo7"/>
    <w:next w:val="JuPara"/>
    <w:uiPriority w:val="17"/>
    <w:rsid w:val="00653331"/>
    <w:pPr>
      <w:keepNext/>
      <w:keepLines/>
      <w:numPr>
        <w:ilvl w:val="6"/>
        <w:numId w:val="3"/>
      </w:numPr>
      <w:tabs>
        <w:tab w:val="left" w:pos="1361"/>
      </w:tabs>
      <w:spacing w:before="100" w:beforeAutospacing="1" w:after="120"/>
      <w:jc w:val="both"/>
    </w:pPr>
    <w:rPr>
      <w:i w:val="0"/>
      <w:sz w:val="20"/>
    </w:rPr>
  </w:style>
  <w:style w:type="paragraph" w:customStyle="1" w:styleId="JuH">
    <w:name w:val="Ju_H_–"/>
    <w:aliases w:val="_Head_8"/>
    <w:basedOn w:val="Titolo8"/>
    <w:next w:val="JuPara"/>
    <w:uiPriority w:val="17"/>
    <w:rsid w:val="00653331"/>
    <w:pPr>
      <w:keepNext/>
      <w:keepLines/>
      <w:numPr>
        <w:ilvl w:val="7"/>
        <w:numId w:val="3"/>
      </w:numPr>
      <w:spacing w:before="100" w:beforeAutospacing="1" w:after="120"/>
      <w:jc w:val="both"/>
    </w:pPr>
    <w:rPr>
      <w:i/>
    </w:rPr>
  </w:style>
  <w:style w:type="character" w:customStyle="1" w:styleId="Titolo3Carattere">
    <w:name w:val="Titolo 3 Carattere"/>
    <w:basedOn w:val="Carpredefinitoparagrafo"/>
    <w:link w:val="Titolo3"/>
    <w:uiPriority w:val="98"/>
    <w:semiHidden/>
    <w:rsid w:val="00653331"/>
    <w:rPr>
      <w:rFonts w:asciiTheme="majorHAnsi" w:eastAsiaTheme="majorEastAsia" w:hAnsiTheme="majorHAnsi" w:cstheme="majorBidi"/>
      <w:b/>
      <w:bCs/>
      <w:color w:val="5F5F5F"/>
      <w:lang w:val="fr-FR"/>
    </w:rPr>
  </w:style>
  <w:style w:type="paragraph" w:customStyle="1" w:styleId="JuParaLast">
    <w:name w:val="Ju_Para_Last"/>
    <w:aliases w:val="_Para_Spaced"/>
    <w:basedOn w:val="NormalJustified"/>
    <w:uiPriority w:val="5"/>
    <w:qFormat/>
    <w:rsid w:val="00653331"/>
    <w:pPr>
      <w:keepNext/>
      <w:keepLines/>
      <w:spacing w:before="240" w:after="240"/>
      <w:ind w:firstLine="284"/>
    </w:pPr>
  </w:style>
  <w:style w:type="paragraph" w:customStyle="1" w:styleId="JuJudges">
    <w:name w:val="Ju_Judges"/>
    <w:aliases w:val="_Judges"/>
    <w:basedOn w:val="Normale"/>
    <w:uiPriority w:val="32"/>
    <w:qFormat/>
    <w:rsid w:val="00653331"/>
    <w:pPr>
      <w:tabs>
        <w:tab w:val="left" w:pos="567"/>
        <w:tab w:val="left" w:pos="1134"/>
      </w:tabs>
    </w:pPr>
  </w:style>
  <w:style w:type="character" w:customStyle="1" w:styleId="Titolo4Carattere">
    <w:name w:val="Titolo 4 Carattere"/>
    <w:basedOn w:val="Carpredefinitoparagrafo"/>
    <w:link w:val="Titolo4"/>
    <w:uiPriority w:val="98"/>
    <w:semiHidden/>
    <w:rsid w:val="00653331"/>
    <w:rPr>
      <w:rFonts w:asciiTheme="majorHAnsi" w:eastAsiaTheme="majorEastAsia" w:hAnsiTheme="majorHAnsi" w:cstheme="majorBidi"/>
      <w:b/>
      <w:bCs/>
      <w:i/>
      <w:iCs/>
      <w:color w:val="777777"/>
      <w:lang w:val="fr-FR"/>
    </w:rPr>
  </w:style>
  <w:style w:type="character" w:customStyle="1" w:styleId="JuITMark">
    <w:name w:val="Ju_ITMark"/>
    <w:aliases w:val="_ITMark"/>
    <w:basedOn w:val="Carpredefinitoparagrafo"/>
    <w:uiPriority w:val="54"/>
    <w:qFormat/>
    <w:rsid w:val="00653331"/>
    <w:rPr>
      <w:vanish w:val="0"/>
      <w:color w:val="auto"/>
      <w:sz w:val="14"/>
      <w:bdr w:val="none" w:sz="0" w:space="0" w:color="auto"/>
      <w:shd w:val="clear" w:color="auto" w:fill="BEE5FF" w:themeFill="background1" w:themeFillTint="33"/>
    </w:rPr>
  </w:style>
  <w:style w:type="character" w:customStyle="1" w:styleId="Titolo5Carattere">
    <w:name w:val="Titolo 5 Carattere"/>
    <w:basedOn w:val="Carpredefinitoparagrafo"/>
    <w:link w:val="Titolo5"/>
    <w:uiPriority w:val="98"/>
    <w:semiHidden/>
    <w:rsid w:val="00653331"/>
    <w:rPr>
      <w:rFonts w:asciiTheme="majorHAnsi" w:eastAsiaTheme="majorEastAsia" w:hAnsiTheme="majorHAnsi" w:cstheme="majorBidi"/>
      <w:b/>
      <w:bCs/>
      <w:color w:val="808080"/>
      <w:lang w:val="fr-FR"/>
    </w:rPr>
  </w:style>
  <w:style w:type="character" w:customStyle="1" w:styleId="JUNAMES">
    <w:name w:val="JU_NAMES"/>
    <w:aliases w:val="_Ju_Names"/>
    <w:uiPriority w:val="33"/>
    <w:qFormat/>
    <w:rsid w:val="00653331"/>
    <w:rPr>
      <w:caps w:val="0"/>
      <w:smallCaps/>
    </w:rPr>
  </w:style>
  <w:style w:type="paragraph" w:customStyle="1" w:styleId="NormalJustified">
    <w:name w:val="Normal_Justified"/>
    <w:basedOn w:val="Normale"/>
    <w:semiHidden/>
    <w:rsid w:val="00653331"/>
    <w:pPr>
      <w:jc w:val="both"/>
    </w:pPr>
  </w:style>
  <w:style w:type="character" w:styleId="Enfasidelicata">
    <w:name w:val="Subtle Emphasis"/>
    <w:uiPriority w:val="98"/>
    <w:semiHidden/>
    <w:qFormat/>
    <w:rsid w:val="00653331"/>
    <w:rPr>
      <w:i/>
      <w:iCs/>
    </w:rPr>
  </w:style>
  <w:style w:type="table" w:customStyle="1" w:styleId="ECHRTable">
    <w:name w:val="ECHR_Table"/>
    <w:basedOn w:val="Tabellanormale"/>
    <w:rsid w:val="00653331"/>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653331"/>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nfasicorsivo">
    <w:name w:val="Emphasis"/>
    <w:uiPriority w:val="98"/>
    <w:semiHidden/>
    <w:qFormat/>
    <w:rsid w:val="00653331"/>
    <w:rPr>
      <w:b/>
      <w:bCs/>
      <w:i/>
      <w:iCs/>
      <w:spacing w:val="10"/>
      <w:bdr w:val="none" w:sz="0" w:space="0" w:color="auto"/>
      <w:shd w:val="clear" w:color="auto" w:fill="auto"/>
    </w:rPr>
  </w:style>
  <w:style w:type="paragraph" w:styleId="Pidipagina">
    <w:name w:val="footer"/>
    <w:basedOn w:val="Normale"/>
    <w:link w:val="PidipaginaCarattere"/>
    <w:uiPriority w:val="98"/>
    <w:semiHidden/>
    <w:rsid w:val="00653331"/>
    <w:pPr>
      <w:tabs>
        <w:tab w:val="center" w:pos="3686"/>
        <w:tab w:val="right" w:pos="7371"/>
      </w:tabs>
    </w:pPr>
  </w:style>
  <w:style w:type="character" w:customStyle="1" w:styleId="PidipaginaCarattere">
    <w:name w:val="Piè di pagina Carattere"/>
    <w:basedOn w:val="Carpredefinitoparagrafo"/>
    <w:link w:val="Pidipagina"/>
    <w:uiPriority w:val="98"/>
    <w:semiHidden/>
    <w:rsid w:val="00653331"/>
    <w:rPr>
      <w:sz w:val="24"/>
      <w:szCs w:val="24"/>
      <w:lang w:val="fr-FR"/>
    </w:rPr>
  </w:style>
  <w:style w:type="character" w:styleId="Rimandonotaapidipagina">
    <w:name w:val="footnote reference"/>
    <w:basedOn w:val="Carpredefinitoparagrafo"/>
    <w:uiPriority w:val="98"/>
    <w:semiHidden/>
    <w:rsid w:val="00653331"/>
    <w:rPr>
      <w:vertAlign w:val="superscript"/>
    </w:rPr>
  </w:style>
  <w:style w:type="paragraph" w:styleId="Testonotaapidipagina">
    <w:name w:val="footnote text"/>
    <w:basedOn w:val="Normale"/>
    <w:link w:val="TestonotaapidipaginaCarattere"/>
    <w:uiPriority w:val="98"/>
    <w:semiHidden/>
    <w:rsid w:val="00653331"/>
    <w:rPr>
      <w:sz w:val="20"/>
      <w:szCs w:val="20"/>
    </w:rPr>
  </w:style>
  <w:style w:type="character" w:customStyle="1" w:styleId="TestonotaapidipaginaCarattere">
    <w:name w:val="Testo nota a piè di pagina Carattere"/>
    <w:basedOn w:val="Carpredefinitoparagrafo"/>
    <w:link w:val="Testonotaapidipagina"/>
    <w:uiPriority w:val="98"/>
    <w:semiHidden/>
    <w:rsid w:val="00653331"/>
    <w:rPr>
      <w:sz w:val="20"/>
      <w:szCs w:val="20"/>
      <w:lang w:val="fr-FR"/>
    </w:rPr>
  </w:style>
  <w:style w:type="character" w:customStyle="1" w:styleId="Titolo6Carattere">
    <w:name w:val="Titolo 6 Carattere"/>
    <w:basedOn w:val="Carpredefinitoparagrafo"/>
    <w:link w:val="Titolo6"/>
    <w:uiPriority w:val="98"/>
    <w:semiHidden/>
    <w:rsid w:val="00653331"/>
    <w:rPr>
      <w:rFonts w:asciiTheme="majorHAnsi" w:eastAsiaTheme="majorEastAsia" w:hAnsiTheme="majorHAnsi" w:cstheme="majorBidi"/>
      <w:b/>
      <w:bCs/>
      <w:i/>
      <w:iCs/>
      <w:color w:val="7F7F7F" w:themeColor="text1" w:themeTint="80"/>
      <w:lang w:val="fr-FR" w:bidi="en-US"/>
    </w:rPr>
  </w:style>
  <w:style w:type="character" w:customStyle="1" w:styleId="Titolo7Carattere">
    <w:name w:val="Titolo 7 Carattere"/>
    <w:basedOn w:val="Carpredefinitoparagrafo"/>
    <w:link w:val="Titolo7"/>
    <w:uiPriority w:val="98"/>
    <w:semiHidden/>
    <w:rsid w:val="00653331"/>
    <w:rPr>
      <w:rFonts w:asciiTheme="majorHAnsi" w:eastAsiaTheme="majorEastAsia" w:hAnsiTheme="majorHAnsi" w:cstheme="majorBidi"/>
      <w:i/>
      <w:iCs/>
      <w:lang w:val="fr-FR" w:bidi="en-US"/>
    </w:rPr>
  </w:style>
  <w:style w:type="character" w:customStyle="1" w:styleId="Titolo8Carattere">
    <w:name w:val="Titolo 8 Carattere"/>
    <w:basedOn w:val="Carpredefinitoparagrafo"/>
    <w:link w:val="Titolo8"/>
    <w:uiPriority w:val="98"/>
    <w:semiHidden/>
    <w:rsid w:val="00653331"/>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8"/>
    <w:semiHidden/>
    <w:rsid w:val="00653331"/>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8"/>
    <w:semiHidden/>
    <w:rsid w:val="00653331"/>
    <w:rPr>
      <w:color w:val="0072BC" w:themeColor="hyperlink"/>
      <w:u w:val="single"/>
    </w:rPr>
  </w:style>
  <w:style w:type="character" w:styleId="Enfasiintensa">
    <w:name w:val="Intense Emphasis"/>
    <w:uiPriority w:val="98"/>
    <w:semiHidden/>
    <w:qFormat/>
    <w:rsid w:val="00653331"/>
    <w:rPr>
      <w:b/>
      <w:bCs/>
    </w:rPr>
  </w:style>
  <w:style w:type="paragraph" w:styleId="Citazioneintensa">
    <w:name w:val="Intense Quote"/>
    <w:basedOn w:val="Normale"/>
    <w:next w:val="Normale"/>
    <w:link w:val="CitazioneintensaCarattere"/>
    <w:uiPriority w:val="98"/>
    <w:semiHidden/>
    <w:qFormat/>
    <w:rsid w:val="00653331"/>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rsid w:val="00653331"/>
    <w:rPr>
      <w:b/>
      <w:bCs/>
      <w:i/>
      <w:iCs/>
      <w:sz w:val="24"/>
      <w:szCs w:val="24"/>
      <w:lang w:val="fr-FR" w:bidi="en-US"/>
    </w:rPr>
  </w:style>
  <w:style w:type="character" w:styleId="Riferimentointenso">
    <w:name w:val="Intense Reference"/>
    <w:uiPriority w:val="98"/>
    <w:semiHidden/>
    <w:qFormat/>
    <w:rsid w:val="00653331"/>
    <w:rPr>
      <w:smallCaps/>
      <w:spacing w:val="5"/>
      <w:u w:val="single"/>
    </w:rPr>
  </w:style>
  <w:style w:type="paragraph" w:styleId="Paragrafoelenco">
    <w:name w:val="List Paragraph"/>
    <w:basedOn w:val="Normale"/>
    <w:uiPriority w:val="98"/>
    <w:semiHidden/>
    <w:qFormat/>
    <w:rsid w:val="00653331"/>
    <w:pPr>
      <w:ind w:left="720"/>
      <w:contextualSpacing/>
    </w:pPr>
  </w:style>
  <w:style w:type="table" w:customStyle="1" w:styleId="LtrTableAddress">
    <w:name w:val="Ltr_Table_Address"/>
    <w:aliases w:val="ECHR_Ltr_Table_Address"/>
    <w:basedOn w:val="Tabellanormale"/>
    <w:uiPriority w:val="99"/>
    <w:rsid w:val="00653331"/>
    <w:rPr>
      <w:sz w:val="24"/>
      <w:szCs w:val="24"/>
    </w:rPr>
    <w:tblPr>
      <w:tblInd w:w="5103" w:type="dxa"/>
    </w:tblPr>
  </w:style>
  <w:style w:type="paragraph" w:styleId="Citazione">
    <w:name w:val="Quote"/>
    <w:basedOn w:val="Normale"/>
    <w:next w:val="Normale"/>
    <w:link w:val="CitazioneCarattere"/>
    <w:uiPriority w:val="98"/>
    <w:semiHidden/>
    <w:qFormat/>
    <w:rsid w:val="00653331"/>
    <w:pPr>
      <w:spacing w:before="200"/>
      <w:ind w:left="360" w:right="360"/>
    </w:pPr>
    <w:rPr>
      <w:i/>
      <w:iCs/>
      <w:lang w:bidi="en-US"/>
    </w:rPr>
  </w:style>
  <w:style w:type="character" w:customStyle="1" w:styleId="CitazioneCarattere">
    <w:name w:val="Citazione Carattere"/>
    <w:basedOn w:val="Carpredefinitoparagrafo"/>
    <w:link w:val="Citazione"/>
    <w:uiPriority w:val="98"/>
    <w:rsid w:val="00653331"/>
    <w:rPr>
      <w:i/>
      <w:iCs/>
      <w:sz w:val="24"/>
      <w:szCs w:val="24"/>
      <w:lang w:val="fr-FR" w:bidi="en-US"/>
    </w:rPr>
  </w:style>
  <w:style w:type="character" w:styleId="Riferimentodelicato">
    <w:name w:val="Subtle Reference"/>
    <w:uiPriority w:val="98"/>
    <w:semiHidden/>
    <w:qFormat/>
    <w:rsid w:val="00653331"/>
    <w:rPr>
      <w:smallCaps/>
    </w:rPr>
  </w:style>
  <w:style w:type="table" w:styleId="Grigliatabella">
    <w:name w:val="Table Grid"/>
    <w:basedOn w:val="Tabellanormale"/>
    <w:uiPriority w:val="59"/>
    <w:semiHidden/>
    <w:rsid w:val="00653331"/>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653331"/>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653331"/>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653331"/>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653331"/>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653331"/>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653331"/>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653331"/>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653331"/>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653331"/>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653331"/>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653331"/>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653331"/>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653331"/>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ttotitolo">
    <w:name w:val="Subtitle"/>
    <w:basedOn w:val="Normale"/>
    <w:next w:val="Normale"/>
    <w:link w:val="SottotitoloCarattere"/>
    <w:uiPriority w:val="98"/>
    <w:semiHidden/>
    <w:qFormat/>
    <w:rsid w:val="00653331"/>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rsid w:val="00653331"/>
    <w:rPr>
      <w:rFonts w:asciiTheme="majorHAnsi" w:eastAsiaTheme="majorEastAsia" w:hAnsiTheme="majorHAnsi" w:cstheme="majorBidi"/>
      <w:i/>
      <w:iCs/>
      <w:spacing w:val="13"/>
      <w:sz w:val="24"/>
      <w:szCs w:val="24"/>
      <w:lang w:val="fr-FR" w:bidi="en-US"/>
    </w:rPr>
  </w:style>
  <w:style w:type="numbering" w:styleId="111111">
    <w:name w:val="Outline List 2"/>
    <w:basedOn w:val="Nessunelenco"/>
    <w:uiPriority w:val="99"/>
    <w:semiHidden/>
    <w:unhideWhenUsed/>
    <w:rsid w:val="00653331"/>
    <w:pPr>
      <w:numPr>
        <w:numId w:val="4"/>
      </w:numPr>
    </w:pPr>
  </w:style>
  <w:style w:type="paragraph" w:customStyle="1" w:styleId="JuPara">
    <w:name w:val="Ju_Para"/>
    <w:aliases w:val="_Para"/>
    <w:basedOn w:val="NormalJustified"/>
    <w:link w:val="JuParaChar"/>
    <w:uiPriority w:val="4"/>
    <w:qFormat/>
    <w:rsid w:val="00653331"/>
    <w:pPr>
      <w:ind w:firstLine="284"/>
    </w:pPr>
  </w:style>
  <w:style w:type="numbering" w:styleId="1ai">
    <w:name w:val="Outline List 1"/>
    <w:basedOn w:val="Nessunelenco"/>
    <w:uiPriority w:val="99"/>
    <w:semiHidden/>
    <w:unhideWhenUsed/>
    <w:rsid w:val="00653331"/>
    <w:pPr>
      <w:numPr>
        <w:numId w:val="5"/>
      </w:numPr>
    </w:pPr>
  </w:style>
  <w:style w:type="table" w:customStyle="1" w:styleId="ECHRTableSimpleBox">
    <w:name w:val="ECHR_Table_Simple_Box"/>
    <w:basedOn w:val="Tabellanormale"/>
    <w:uiPriority w:val="99"/>
    <w:rsid w:val="00653331"/>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653331"/>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oloSezione">
    <w:name w:val="Outline List 3"/>
    <w:basedOn w:val="Nessunelenco"/>
    <w:uiPriority w:val="99"/>
    <w:semiHidden/>
    <w:unhideWhenUsed/>
    <w:rsid w:val="00653331"/>
    <w:pPr>
      <w:numPr>
        <w:numId w:val="6"/>
      </w:numPr>
    </w:pPr>
  </w:style>
  <w:style w:type="table" w:customStyle="1" w:styleId="ECHRTableForInternalUse">
    <w:name w:val="ECHR_Table_For_Internal_Use"/>
    <w:basedOn w:val="Tabellanormale"/>
    <w:uiPriority w:val="99"/>
    <w:rsid w:val="00653331"/>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653331"/>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fia">
    <w:name w:val="Bibliography"/>
    <w:basedOn w:val="Normale"/>
    <w:next w:val="Normale"/>
    <w:uiPriority w:val="98"/>
    <w:semiHidden/>
    <w:rsid w:val="00653331"/>
  </w:style>
  <w:style w:type="paragraph" w:styleId="Testodelblocco">
    <w:name w:val="Block Text"/>
    <w:basedOn w:val="Normale"/>
    <w:uiPriority w:val="98"/>
    <w:semiHidden/>
    <w:rsid w:val="00653331"/>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ellanormale"/>
    <w:uiPriority w:val="99"/>
    <w:rsid w:val="00653331"/>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Corpotesto">
    <w:name w:val="Body Text"/>
    <w:basedOn w:val="Normale"/>
    <w:link w:val="CorpotestoCarattere"/>
    <w:uiPriority w:val="98"/>
    <w:semiHidden/>
    <w:rsid w:val="00653331"/>
    <w:pPr>
      <w:spacing w:after="120"/>
    </w:pPr>
  </w:style>
  <w:style w:type="character" w:customStyle="1" w:styleId="CorpotestoCarattere">
    <w:name w:val="Corpo testo Carattere"/>
    <w:basedOn w:val="Carpredefinitoparagrafo"/>
    <w:link w:val="Corpotesto"/>
    <w:uiPriority w:val="98"/>
    <w:semiHidden/>
    <w:rsid w:val="00653331"/>
    <w:rPr>
      <w:sz w:val="24"/>
      <w:szCs w:val="24"/>
      <w:lang w:val="fr-FR"/>
    </w:rPr>
  </w:style>
  <w:style w:type="table" w:customStyle="1" w:styleId="ECHRTableOddBanded">
    <w:name w:val="ECHR_Table_Odd_Banded"/>
    <w:basedOn w:val="Tabellanormale"/>
    <w:uiPriority w:val="99"/>
    <w:rsid w:val="00653331"/>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deltesto2">
    <w:name w:val="Body Text 2"/>
    <w:basedOn w:val="Normale"/>
    <w:link w:val="Corpodeltesto2Carattere"/>
    <w:uiPriority w:val="98"/>
    <w:semiHidden/>
    <w:rsid w:val="00653331"/>
    <w:pPr>
      <w:spacing w:after="120" w:line="480" w:lineRule="auto"/>
    </w:pPr>
  </w:style>
  <w:style w:type="table" w:customStyle="1" w:styleId="ECHRHeaderTableReduced">
    <w:name w:val="ECHR_Header_Table_Reduced"/>
    <w:basedOn w:val="Tabellanormale"/>
    <w:uiPriority w:val="99"/>
    <w:rsid w:val="00653331"/>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e"/>
    <w:next w:val="JuPara"/>
    <w:uiPriority w:val="32"/>
    <w:rsid w:val="00653331"/>
    <w:pPr>
      <w:ind w:firstLine="284"/>
    </w:pPr>
    <w:rPr>
      <w:b/>
    </w:rPr>
  </w:style>
  <w:style w:type="character" w:styleId="Numeropagina">
    <w:name w:val="page number"/>
    <w:uiPriority w:val="98"/>
    <w:semiHidden/>
    <w:rsid w:val="00653331"/>
    <w:rPr>
      <w:sz w:val="18"/>
    </w:rPr>
  </w:style>
  <w:style w:type="paragraph" w:styleId="Puntoelenco2">
    <w:name w:val="List Bullet 2"/>
    <w:basedOn w:val="Normale"/>
    <w:uiPriority w:val="98"/>
    <w:semiHidden/>
    <w:rsid w:val="00653331"/>
    <w:pPr>
      <w:numPr>
        <w:numId w:val="11"/>
      </w:numPr>
      <w:contextualSpacing/>
    </w:pPr>
  </w:style>
  <w:style w:type="character" w:customStyle="1" w:styleId="Corpodeltesto2Carattere">
    <w:name w:val="Corpo del testo 2 Carattere"/>
    <w:basedOn w:val="Carpredefinitoparagrafo"/>
    <w:link w:val="Corpodeltesto2"/>
    <w:uiPriority w:val="98"/>
    <w:semiHidden/>
    <w:rsid w:val="00653331"/>
    <w:rPr>
      <w:sz w:val="24"/>
      <w:szCs w:val="24"/>
      <w:lang w:val="fr-FR"/>
    </w:rPr>
  </w:style>
  <w:style w:type="paragraph" w:styleId="Corpodeltesto3">
    <w:name w:val="Body Text 3"/>
    <w:basedOn w:val="Normale"/>
    <w:link w:val="Corpodeltesto3Carattere"/>
    <w:uiPriority w:val="98"/>
    <w:semiHidden/>
    <w:rsid w:val="00653331"/>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653331"/>
    <w:rPr>
      <w:sz w:val="16"/>
      <w:szCs w:val="16"/>
      <w:lang w:val="fr-FR"/>
    </w:rPr>
  </w:style>
  <w:style w:type="paragraph" w:styleId="Primorientrocorpodeltesto">
    <w:name w:val="Body Text First Indent"/>
    <w:basedOn w:val="Corpotesto"/>
    <w:link w:val="PrimorientrocorpodeltestoCarattere"/>
    <w:uiPriority w:val="98"/>
    <w:semiHidden/>
    <w:rsid w:val="00653331"/>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653331"/>
    <w:rPr>
      <w:sz w:val="24"/>
      <w:szCs w:val="24"/>
      <w:lang w:val="fr-FR"/>
    </w:rPr>
  </w:style>
  <w:style w:type="paragraph" w:styleId="Rientrocorpodeltesto">
    <w:name w:val="Body Text Indent"/>
    <w:basedOn w:val="Normale"/>
    <w:link w:val="RientrocorpodeltestoCarattere"/>
    <w:uiPriority w:val="98"/>
    <w:semiHidden/>
    <w:rsid w:val="00653331"/>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653331"/>
    <w:rPr>
      <w:sz w:val="24"/>
      <w:szCs w:val="24"/>
      <w:lang w:val="fr-FR"/>
    </w:rPr>
  </w:style>
  <w:style w:type="paragraph" w:styleId="Primorientrocorpodeltesto2">
    <w:name w:val="Body Text First Indent 2"/>
    <w:basedOn w:val="Rientrocorpodeltesto"/>
    <w:link w:val="Primorientrocorpodeltesto2Carattere"/>
    <w:uiPriority w:val="98"/>
    <w:semiHidden/>
    <w:rsid w:val="00653331"/>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653331"/>
    <w:rPr>
      <w:sz w:val="24"/>
      <w:szCs w:val="24"/>
      <w:lang w:val="fr-FR"/>
    </w:rPr>
  </w:style>
  <w:style w:type="paragraph" w:styleId="Rientrocorpodeltesto2">
    <w:name w:val="Body Text Indent 2"/>
    <w:basedOn w:val="Normale"/>
    <w:link w:val="Rientrocorpodeltesto2Carattere"/>
    <w:uiPriority w:val="98"/>
    <w:semiHidden/>
    <w:rsid w:val="00653331"/>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653331"/>
    <w:rPr>
      <w:sz w:val="24"/>
      <w:szCs w:val="24"/>
      <w:lang w:val="fr-FR"/>
    </w:rPr>
  </w:style>
  <w:style w:type="paragraph" w:styleId="Rientrocorpodeltesto3">
    <w:name w:val="Body Text Indent 3"/>
    <w:basedOn w:val="Normale"/>
    <w:link w:val="Rientrocorpodeltesto3Carattere"/>
    <w:uiPriority w:val="98"/>
    <w:semiHidden/>
    <w:rsid w:val="00653331"/>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653331"/>
    <w:rPr>
      <w:sz w:val="16"/>
      <w:szCs w:val="16"/>
      <w:lang w:val="fr-FR"/>
    </w:rPr>
  </w:style>
  <w:style w:type="paragraph" w:styleId="Didascalia">
    <w:name w:val="caption"/>
    <w:basedOn w:val="Normale"/>
    <w:next w:val="Normale"/>
    <w:uiPriority w:val="98"/>
    <w:semiHidden/>
    <w:qFormat/>
    <w:rsid w:val="00653331"/>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653331"/>
    <w:pPr>
      <w:ind w:left="4252"/>
    </w:pPr>
  </w:style>
  <w:style w:type="character" w:customStyle="1" w:styleId="FormuladichiusuraCarattere">
    <w:name w:val="Formula di chiusura Carattere"/>
    <w:basedOn w:val="Carpredefinitoparagrafo"/>
    <w:link w:val="Formuladichiusura"/>
    <w:uiPriority w:val="98"/>
    <w:semiHidden/>
    <w:rsid w:val="00653331"/>
    <w:rPr>
      <w:sz w:val="24"/>
      <w:szCs w:val="24"/>
      <w:lang w:val="fr-FR"/>
    </w:rPr>
  </w:style>
  <w:style w:type="table" w:styleId="Grigliaacolori">
    <w:name w:val="Colorful Grid"/>
    <w:basedOn w:val="Tabellanormale"/>
    <w:uiPriority w:val="73"/>
    <w:semiHidden/>
    <w:rsid w:val="00653331"/>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653331"/>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653331"/>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653331"/>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653331"/>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653331"/>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653331"/>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653331"/>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653331"/>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653331"/>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653331"/>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653331"/>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653331"/>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653331"/>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653331"/>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653331"/>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653331"/>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653331"/>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653331"/>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653331"/>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653331"/>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uiPriority w:val="98"/>
    <w:semiHidden/>
    <w:rsid w:val="00653331"/>
    <w:rPr>
      <w:sz w:val="16"/>
      <w:szCs w:val="16"/>
    </w:rPr>
  </w:style>
  <w:style w:type="paragraph" w:styleId="Testocommento">
    <w:name w:val="annotation text"/>
    <w:basedOn w:val="Normale"/>
    <w:link w:val="TestocommentoCarattere"/>
    <w:uiPriority w:val="98"/>
    <w:semiHidden/>
    <w:rsid w:val="00653331"/>
    <w:rPr>
      <w:sz w:val="20"/>
      <w:szCs w:val="20"/>
    </w:rPr>
  </w:style>
  <w:style w:type="character" w:customStyle="1" w:styleId="TestocommentoCarattere">
    <w:name w:val="Testo commento Carattere"/>
    <w:basedOn w:val="Carpredefinitoparagrafo"/>
    <w:link w:val="Testocommento"/>
    <w:uiPriority w:val="98"/>
    <w:semiHidden/>
    <w:rsid w:val="00653331"/>
    <w:rPr>
      <w:sz w:val="20"/>
      <w:szCs w:val="20"/>
      <w:lang w:val="fr-FR"/>
    </w:rPr>
  </w:style>
  <w:style w:type="paragraph" w:styleId="Soggettocommento">
    <w:name w:val="annotation subject"/>
    <w:basedOn w:val="Testocommento"/>
    <w:next w:val="Testocommento"/>
    <w:link w:val="SoggettocommentoCarattere"/>
    <w:uiPriority w:val="98"/>
    <w:semiHidden/>
    <w:rsid w:val="00653331"/>
    <w:rPr>
      <w:b/>
      <w:bCs/>
    </w:rPr>
  </w:style>
  <w:style w:type="character" w:customStyle="1" w:styleId="SoggettocommentoCarattere">
    <w:name w:val="Soggetto commento Carattere"/>
    <w:basedOn w:val="TestocommentoCarattere"/>
    <w:link w:val="Soggettocommento"/>
    <w:uiPriority w:val="98"/>
    <w:semiHidden/>
    <w:rsid w:val="00653331"/>
    <w:rPr>
      <w:b/>
      <w:bCs/>
      <w:sz w:val="20"/>
      <w:szCs w:val="20"/>
      <w:lang w:val="fr-FR"/>
    </w:rPr>
  </w:style>
  <w:style w:type="table" w:styleId="Elencoscuro">
    <w:name w:val="Dark List"/>
    <w:basedOn w:val="Tabellanormale"/>
    <w:uiPriority w:val="70"/>
    <w:semiHidden/>
    <w:rsid w:val="00653331"/>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653331"/>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653331"/>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653331"/>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653331"/>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653331"/>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653331"/>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653331"/>
  </w:style>
  <w:style w:type="character" w:customStyle="1" w:styleId="DataCarattere">
    <w:name w:val="Data Carattere"/>
    <w:basedOn w:val="Carpredefinitoparagrafo"/>
    <w:link w:val="Data"/>
    <w:uiPriority w:val="98"/>
    <w:semiHidden/>
    <w:rsid w:val="00653331"/>
    <w:rPr>
      <w:sz w:val="24"/>
      <w:szCs w:val="24"/>
      <w:lang w:val="fr-FR"/>
    </w:rPr>
  </w:style>
  <w:style w:type="paragraph" w:styleId="Mappadocumento">
    <w:name w:val="Document Map"/>
    <w:basedOn w:val="Normale"/>
    <w:link w:val="MappadocumentoCarattere"/>
    <w:uiPriority w:val="98"/>
    <w:semiHidden/>
    <w:rsid w:val="00653331"/>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653331"/>
    <w:rPr>
      <w:rFonts w:ascii="Tahoma" w:hAnsi="Tahoma" w:cs="Tahoma"/>
      <w:sz w:val="16"/>
      <w:szCs w:val="16"/>
      <w:lang w:val="fr-FR"/>
    </w:rPr>
  </w:style>
  <w:style w:type="paragraph" w:styleId="Firmadipostaelettronica">
    <w:name w:val="E-mail Signature"/>
    <w:basedOn w:val="Normale"/>
    <w:link w:val="FirmadipostaelettronicaCarattere"/>
    <w:uiPriority w:val="98"/>
    <w:semiHidden/>
    <w:rsid w:val="00653331"/>
  </w:style>
  <w:style w:type="character" w:customStyle="1" w:styleId="FirmadipostaelettronicaCarattere">
    <w:name w:val="Firma di posta elettronica Carattere"/>
    <w:basedOn w:val="Carpredefinitoparagrafo"/>
    <w:link w:val="Firmadipostaelettronica"/>
    <w:uiPriority w:val="98"/>
    <w:semiHidden/>
    <w:rsid w:val="00653331"/>
    <w:rPr>
      <w:sz w:val="24"/>
      <w:szCs w:val="24"/>
      <w:lang w:val="fr-FR"/>
    </w:rPr>
  </w:style>
  <w:style w:type="character" w:styleId="Rimandonotadichiusura">
    <w:name w:val="endnote reference"/>
    <w:basedOn w:val="Carpredefinitoparagrafo"/>
    <w:uiPriority w:val="98"/>
    <w:semiHidden/>
    <w:rsid w:val="00653331"/>
    <w:rPr>
      <w:vertAlign w:val="superscript"/>
    </w:rPr>
  </w:style>
  <w:style w:type="paragraph" w:styleId="Testonotadichiusura">
    <w:name w:val="endnote text"/>
    <w:basedOn w:val="Normale"/>
    <w:link w:val="TestonotadichiusuraCarattere"/>
    <w:uiPriority w:val="98"/>
    <w:semiHidden/>
    <w:rsid w:val="00653331"/>
    <w:rPr>
      <w:sz w:val="20"/>
      <w:szCs w:val="20"/>
    </w:rPr>
  </w:style>
  <w:style w:type="character" w:customStyle="1" w:styleId="TestonotadichiusuraCarattere">
    <w:name w:val="Testo nota di chiusura Carattere"/>
    <w:basedOn w:val="Carpredefinitoparagrafo"/>
    <w:link w:val="Testonotadichiusura"/>
    <w:uiPriority w:val="98"/>
    <w:semiHidden/>
    <w:rsid w:val="00653331"/>
    <w:rPr>
      <w:sz w:val="20"/>
      <w:szCs w:val="20"/>
      <w:lang w:val="fr-FR"/>
    </w:rPr>
  </w:style>
  <w:style w:type="paragraph" w:styleId="Indirizzodestinatario">
    <w:name w:val="envelope address"/>
    <w:basedOn w:val="Normale"/>
    <w:uiPriority w:val="98"/>
    <w:semiHidden/>
    <w:rsid w:val="00653331"/>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653331"/>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653331"/>
    <w:rPr>
      <w:color w:val="7030A0" w:themeColor="followedHyperlink"/>
      <w:u w:val="single"/>
    </w:rPr>
  </w:style>
  <w:style w:type="character" w:styleId="AcronimoHTML">
    <w:name w:val="HTML Acronym"/>
    <w:basedOn w:val="Carpredefinitoparagrafo"/>
    <w:uiPriority w:val="98"/>
    <w:semiHidden/>
    <w:rsid w:val="00653331"/>
  </w:style>
  <w:style w:type="paragraph" w:styleId="IndirizzoHTML">
    <w:name w:val="HTML Address"/>
    <w:basedOn w:val="Normale"/>
    <w:link w:val="IndirizzoHTMLCarattere"/>
    <w:uiPriority w:val="98"/>
    <w:semiHidden/>
    <w:rsid w:val="00653331"/>
    <w:rPr>
      <w:i/>
      <w:iCs/>
    </w:rPr>
  </w:style>
  <w:style w:type="character" w:customStyle="1" w:styleId="IndirizzoHTMLCarattere">
    <w:name w:val="Indirizzo HTML Carattere"/>
    <w:basedOn w:val="Carpredefinitoparagrafo"/>
    <w:link w:val="IndirizzoHTML"/>
    <w:uiPriority w:val="98"/>
    <w:semiHidden/>
    <w:rsid w:val="00653331"/>
    <w:rPr>
      <w:i/>
      <w:iCs/>
      <w:sz w:val="24"/>
      <w:szCs w:val="24"/>
      <w:lang w:val="fr-FR"/>
    </w:rPr>
  </w:style>
  <w:style w:type="character" w:styleId="CitazioneHTML">
    <w:name w:val="HTML Cite"/>
    <w:basedOn w:val="Carpredefinitoparagrafo"/>
    <w:uiPriority w:val="98"/>
    <w:semiHidden/>
    <w:rsid w:val="00653331"/>
    <w:rPr>
      <w:i/>
      <w:iCs/>
    </w:rPr>
  </w:style>
  <w:style w:type="character" w:styleId="CodiceHTML">
    <w:name w:val="HTML Code"/>
    <w:basedOn w:val="Carpredefinitoparagrafo"/>
    <w:uiPriority w:val="98"/>
    <w:semiHidden/>
    <w:rsid w:val="00653331"/>
    <w:rPr>
      <w:rFonts w:ascii="Consolas" w:hAnsi="Consolas" w:cs="Consolas"/>
      <w:sz w:val="20"/>
      <w:szCs w:val="20"/>
    </w:rPr>
  </w:style>
  <w:style w:type="character" w:styleId="DefinizioneHTML">
    <w:name w:val="HTML Definition"/>
    <w:basedOn w:val="Carpredefinitoparagrafo"/>
    <w:uiPriority w:val="98"/>
    <w:semiHidden/>
    <w:rsid w:val="00653331"/>
    <w:rPr>
      <w:i/>
      <w:iCs/>
    </w:rPr>
  </w:style>
  <w:style w:type="character" w:styleId="TastieraHTML">
    <w:name w:val="HTML Keyboard"/>
    <w:basedOn w:val="Carpredefinitoparagrafo"/>
    <w:uiPriority w:val="98"/>
    <w:semiHidden/>
    <w:rsid w:val="00653331"/>
    <w:rPr>
      <w:rFonts w:ascii="Consolas" w:hAnsi="Consolas" w:cs="Consolas"/>
      <w:sz w:val="20"/>
      <w:szCs w:val="20"/>
    </w:rPr>
  </w:style>
  <w:style w:type="paragraph" w:styleId="PreformattatoHTML">
    <w:name w:val="HTML Preformatted"/>
    <w:basedOn w:val="Normale"/>
    <w:link w:val="PreformattatoHTMLCarattere"/>
    <w:uiPriority w:val="98"/>
    <w:semiHidden/>
    <w:rsid w:val="00653331"/>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653331"/>
    <w:rPr>
      <w:rFonts w:ascii="Consolas" w:hAnsi="Consolas" w:cs="Consolas"/>
      <w:sz w:val="20"/>
      <w:szCs w:val="20"/>
      <w:lang w:val="fr-FR"/>
    </w:rPr>
  </w:style>
  <w:style w:type="character" w:styleId="EsempioHTML">
    <w:name w:val="HTML Sample"/>
    <w:basedOn w:val="Carpredefinitoparagrafo"/>
    <w:uiPriority w:val="98"/>
    <w:semiHidden/>
    <w:rsid w:val="00653331"/>
    <w:rPr>
      <w:rFonts w:ascii="Consolas" w:hAnsi="Consolas" w:cs="Consolas"/>
      <w:sz w:val="24"/>
      <w:szCs w:val="24"/>
    </w:rPr>
  </w:style>
  <w:style w:type="character" w:styleId="MacchinadascrivereHTML">
    <w:name w:val="HTML Typewriter"/>
    <w:basedOn w:val="Carpredefinitoparagrafo"/>
    <w:uiPriority w:val="98"/>
    <w:semiHidden/>
    <w:rsid w:val="00653331"/>
    <w:rPr>
      <w:rFonts w:ascii="Consolas" w:hAnsi="Consolas" w:cs="Consolas"/>
      <w:sz w:val="20"/>
      <w:szCs w:val="20"/>
    </w:rPr>
  </w:style>
  <w:style w:type="character" w:styleId="VariabileHTML">
    <w:name w:val="HTML Variable"/>
    <w:basedOn w:val="Carpredefinitoparagrafo"/>
    <w:uiPriority w:val="98"/>
    <w:semiHidden/>
    <w:rsid w:val="00653331"/>
    <w:rPr>
      <w:i/>
      <w:iCs/>
    </w:rPr>
  </w:style>
  <w:style w:type="paragraph" w:styleId="Indice1">
    <w:name w:val="index 1"/>
    <w:basedOn w:val="Normale"/>
    <w:next w:val="Normale"/>
    <w:autoRedefine/>
    <w:uiPriority w:val="98"/>
    <w:semiHidden/>
    <w:rsid w:val="00653331"/>
    <w:pPr>
      <w:ind w:left="240" w:hanging="240"/>
    </w:pPr>
  </w:style>
  <w:style w:type="paragraph" w:styleId="Indice2">
    <w:name w:val="index 2"/>
    <w:basedOn w:val="Normale"/>
    <w:next w:val="Normale"/>
    <w:autoRedefine/>
    <w:uiPriority w:val="98"/>
    <w:semiHidden/>
    <w:rsid w:val="00653331"/>
    <w:pPr>
      <w:ind w:left="480" w:hanging="240"/>
    </w:pPr>
  </w:style>
  <w:style w:type="paragraph" w:styleId="Indice3">
    <w:name w:val="index 3"/>
    <w:basedOn w:val="Normale"/>
    <w:next w:val="Normale"/>
    <w:autoRedefine/>
    <w:uiPriority w:val="98"/>
    <w:semiHidden/>
    <w:rsid w:val="00653331"/>
    <w:pPr>
      <w:ind w:left="720" w:hanging="240"/>
    </w:pPr>
  </w:style>
  <w:style w:type="paragraph" w:styleId="Indice4">
    <w:name w:val="index 4"/>
    <w:basedOn w:val="Normale"/>
    <w:next w:val="Normale"/>
    <w:autoRedefine/>
    <w:uiPriority w:val="98"/>
    <w:semiHidden/>
    <w:rsid w:val="00653331"/>
    <w:pPr>
      <w:ind w:left="960" w:hanging="240"/>
    </w:pPr>
  </w:style>
  <w:style w:type="paragraph" w:styleId="Indice5">
    <w:name w:val="index 5"/>
    <w:basedOn w:val="Normale"/>
    <w:next w:val="Normale"/>
    <w:autoRedefine/>
    <w:uiPriority w:val="98"/>
    <w:semiHidden/>
    <w:rsid w:val="00653331"/>
    <w:pPr>
      <w:ind w:left="1200" w:hanging="240"/>
    </w:pPr>
  </w:style>
  <w:style w:type="paragraph" w:styleId="Indice6">
    <w:name w:val="index 6"/>
    <w:basedOn w:val="Normale"/>
    <w:next w:val="Normale"/>
    <w:autoRedefine/>
    <w:uiPriority w:val="98"/>
    <w:semiHidden/>
    <w:rsid w:val="00653331"/>
    <w:pPr>
      <w:ind w:left="1440" w:hanging="240"/>
    </w:pPr>
  </w:style>
  <w:style w:type="paragraph" w:styleId="Indice7">
    <w:name w:val="index 7"/>
    <w:basedOn w:val="Normale"/>
    <w:next w:val="Normale"/>
    <w:autoRedefine/>
    <w:uiPriority w:val="98"/>
    <w:semiHidden/>
    <w:rsid w:val="00653331"/>
    <w:pPr>
      <w:ind w:left="1680" w:hanging="240"/>
    </w:pPr>
  </w:style>
  <w:style w:type="paragraph" w:styleId="Indice8">
    <w:name w:val="index 8"/>
    <w:basedOn w:val="Normale"/>
    <w:next w:val="Normale"/>
    <w:autoRedefine/>
    <w:uiPriority w:val="98"/>
    <w:semiHidden/>
    <w:rsid w:val="00653331"/>
    <w:pPr>
      <w:ind w:left="1920" w:hanging="240"/>
    </w:pPr>
  </w:style>
  <w:style w:type="paragraph" w:styleId="Indice9">
    <w:name w:val="index 9"/>
    <w:basedOn w:val="Normale"/>
    <w:next w:val="Normale"/>
    <w:autoRedefine/>
    <w:uiPriority w:val="98"/>
    <w:semiHidden/>
    <w:rsid w:val="00653331"/>
    <w:pPr>
      <w:ind w:left="2160" w:hanging="240"/>
    </w:pPr>
  </w:style>
  <w:style w:type="paragraph" w:styleId="Titoloindice">
    <w:name w:val="index heading"/>
    <w:basedOn w:val="Normale"/>
    <w:next w:val="Indice1"/>
    <w:uiPriority w:val="98"/>
    <w:semiHidden/>
    <w:rsid w:val="00653331"/>
    <w:rPr>
      <w:rFonts w:asciiTheme="majorHAnsi" w:eastAsiaTheme="majorEastAsia" w:hAnsiTheme="majorHAnsi" w:cstheme="majorBidi"/>
      <w:b/>
      <w:bCs/>
    </w:rPr>
  </w:style>
  <w:style w:type="table" w:styleId="Grigliachiara">
    <w:name w:val="Light Grid"/>
    <w:basedOn w:val="Tabellanormale"/>
    <w:uiPriority w:val="62"/>
    <w:semiHidden/>
    <w:rsid w:val="00653331"/>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653331"/>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653331"/>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653331"/>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653331"/>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653331"/>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653331"/>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653331"/>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653331"/>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653331"/>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653331"/>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653331"/>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653331"/>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653331"/>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653331"/>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653331"/>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653331"/>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653331"/>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653331"/>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653331"/>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653331"/>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653331"/>
  </w:style>
  <w:style w:type="paragraph" w:styleId="Elenco">
    <w:name w:val="List"/>
    <w:basedOn w:val="Normale"/>
    <w:uiPriority w:val="98"/>
    <w:semiHidden/>
    <w:rsid w:val="00653331"/>
    <w:pPr>
      <w:ind w:left="283" w:hanging="283"/>
      <w:contextualSpacing/>
    </w:pPr>
  </w:style>
  <w:style w:type="paragraph" w:styleId="Elenco2">
    <w:name w:val="List 2"/>
    <w:basedOn w:val="Normale"/>
    <w:uiPriority w:val="98"/>
    <w:semiHidden/>
    <w:rsid w:val="00653331"/>
    <w:pPr>
      <w:ind w:left="566" w:hanging="283"/>
      <w:contextualSpacing/>
    </w:pPr>
  </w:style>
  <w:style w:type="paragraph" w:styleId="Elenco3">
    <w:name w:val="List 3"/>
    <w:basedOn w:val="Normale"/>
    <w:uiPriority w:val="98"/>
    <w:semiHidden/>
    <w:rsid w:val="00653331"/>
    <w:pPr>
      <w:ind w:left="849" w:hanging="283"/>
      <w:contextualSpacing/>
    </w:pPr>
  </w:style>
  <w:style w:type="paragraph" w:styleId="Elenco4">
    <w:name w:val="List 4"/>
    <w:basedOn w:val="Normale"/>
    <w:uiPriority w:val="98"/>
    <w:semiHidden/>
    <w:rsid w:val="00653331"/>
    <w:pPr>
      <w:ind w:left="1132" w:hanging="283"/>
      <w:contextualSpacing/>
    </w:pPr>
  </w:style>
  <w:style w:type="paragraph" w:styleId="Elenco5">
    <w:name w:val="List 5"/>
    <w:basedOn w:val="Normale"/>
    <w:uiPriority w:val="98"/>
    <w:semiHidden/>
    <w:rsid w:val="00653331"/>
    <w:pPr>
      <w:ind w:left="1415" w:hanging="283"/>
      <w:contextualSpacing/>
    </w:pPr>
  </w:style>
  <w:style w:type="paragraph" w:styleId="Puntoelenco">
    <w:name w:val="List Bullet"/>
    <w:basedOn w:val="Normale"/>
    <w:uiPriority w:val="98"/>
    <w:semiHidden/>
    <w:rsid w:val="00653331"/>
    <w:pPr>
      <w:numPr>
        <w:numId w:val="10"/>
      </w:numPr>
    </w:pPr>
  </w:style>
  <w:style w:type="paragraph" w:styleId="Puntoelenco3">
    <w:name w:val="List Bullet 3"/>
    <w:basedOn w:val="Normale"/>
    <w:uiPriority w:val="98"/>
    <w:semiHidden/>
    <w:rsid w:val="00653331"/>
    <w:pPr>
      <w:numPr>
        <w:numId w:val="12"/>
      </w:numPr>
      <w:contextualSpacing/>
    </w:pPr>
  </w:style>
  <w:style w:type="paragraph" w:styleId="Puntoelenco4">
    <w:name w:val="List Bullet 4"/>
    <w:basedOn w:val="Normale"/>
    <w:uiPriority w:val="98"/>
    <w:semiHidden/>
    <w:rsid w:val="00653331"/>
    <w:pPr>
      <w:numPr>
        <w:numId w:val="13"/>
      </w:numPr>
      <w:contextualSpacing/>
    </w:pPr>
  </w:style>
  <w:style w:type="paragraph" w:styleId="Puntoelenco5">
    <w:name w:val="List Bullet 5"/>
    <w:basedOn w:val="Normale"/>
    <w:uiPriority w:val="98"/>
    <w:semiHidden/>
    <w:rsid w:val="00653331"/>
    <w:pPr>
      <w:numPr>
        <w:numId w:val="14"/>
      </w:numPr>
      <w:contextualSpacing/>
    </w:pPr>
  </w:style>
  <w:style w:type="paragraph" w:styleId="Elencocontinua">
    <w:name w:val="List Continue"/>
    <w:basedOn w:val="Normale"/>
    <w:uiPriority w:val="98"/>
    <w:semiHidden/>
    <w:rsid w:val="00653331"/>
    <w:pPr>
      <w:spacing w:after="120"/>
      <w:ind w:left="283"/>
      <w:contextualSpacing/>
    </w:pPr>
  </w:style>
  <w:style w:type="paragraph" w:styleId="Elencocontinua2">
    <w:name w:val="List Continue 2"/>
    <w:basedOn w:val="Normale"/>
    <w:uiPriority w:val="98"/>
    <w:semiHidden/>
    <w:rsid w:val="00653331"/>
    <w:pPr>
      <w:spacing w:after="120"/>
      <w:ind w:left="566"/>
      <w:contextualSpacing/>
    </w:pPr>
  </w:style>
  <w:style w:type="paragraph" w:styleId="Elencocontinua3">
    <w:name w:val="List Continue 3"/>
    <w:basedOn w:val="Normale"/>
    <w:uiPriority w:val="98"/>
    <w:semiHidden/>
    <w:rsid w:val="00653331"/>
    <w:pPr>
      <w:spacing w:after="120"/>
      <w:ind w:left="849"/>
      <w:contextualSpacing/>
    </w:pPr>
  </w:style>
  <w:style w:type="paragraph" w:styleId="Elencocontinua4">
    <w:name w:val="List Continue 4"/>
    <w:basedOn w:val="Normale"/>
    <w:uiPriority w:val="98"/>
    <w:semiHidden/>
    <w:rsid w:val="00653331"/>
    <w:pPr>
      <w:spacing w:after="120"/>
      <w:ind w:left="1132"/>
      <w:contextualSpacing/>
    </w:pPr>
  </w:style>
  <w:style w:type="paragraph" w:styleId="Elencocontinua5">
    <w:name w:val="List Continue 5"/>
    <w:basedOn w:val="Normale"/>
    <w:uiPriority w:val="98"/>
    <w:semiHidden/>
    <w:rsid w:val="00653331"/>
    <w:pPr>
      <w:spacing w:after="120"/>
      <w:ind w:left="1415"/>
      <w:contextualSpacing/>
    </w:pPr>
  </w:style>
  <w:style w:type="paragraph" w:styleId="Numeroelenco">
    <w:name w:val="List Number"/>
    <w:basedOn w:val="Normale"/>
    <w:uiPriority w:val="98"/>
    <w:semiHidden/>
    <w:rsid w:val="00653331"/>
    <w:pPr>
      <w:numPr>
        <w:numId w:val="15"/>
      </w:numPr>
      <w:contextualSpacing/>
    </w:pPr>
  </w:style>
  <w:style w:type="paragraph" w:styleId="Numeroelenco2">
    <w:name w:val="List Number 2"/>
    <w:basedOn w:val="Normale"/>
    <w:uiPriority w:val="98"/>
    <w:semiHidden/>
    <w:rsid w:val="00653331"/>
    <w:pPr>
      <w:numPr>
        <w:numId w:val="16"/>
      </w:numPr>
      <w:contextualSpacing/>
    </w:pPr>
  </w:style>
  <w:style w:type="paragraph" w:styleId="Numeroelenco3">
    <w:name w:val="List Number 3"/>
    <w:basedOn w:val="Normale"/>
    <w:uiPriority w:val="98"/>
    <w:semiHidden/>
    <w:rsid w:val="00653331"/>
    <w:pPr>
      <w:numPr>
        <w:numId w:val="17"/>
      </w:numPr>
      <w:contextualSpacing/>
    </w:pPr>
  </w:style>
  <w:style w:type="paragraph" w:styleId="Numeroelenco4">
    <w:name w:val="List Number 4"/>
    <w:basedOn w:val="Normale"/>
    <w:uiPriority w:val="98"/>
    <w:semiHidden/>
    <w:rsid w:val="00653331"/>
    <w:pPr>
      <w:numPr>
        <w:numId w:val="18"/>
      </w:numPr>
      <w:contextualSpacing/>
    </w:pPr>
  </w:style>
  <w:style w:type="paragraph" w:styleId="Numeroelenco5">
    <w:name w:val="List Number 5"/>
    <w:basedOn w:val="Normale"/>
    <w:uiPriority w:val="98"/>
    <w:semiHidden/>
    <w:rsid w:val="00653331"/>
    <w:pPr>
      <w:numPr>
        <w:numId w:val="19"/>
      </w:numPr>
      <w:contextualSpacing/>
    </w:pPr>
  </w:style>
  <w:style w:type="paragraph" w:styleId="Testomacro">
    <w:name w:val="macro"/>
    <w:link w:val="TestomacroCarattere"/>
    <w:uiPriority w:val="98"/>
    <w:semiHidden/>
    <w:rsid w:val="00653331"/>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653331"/>
    <w:rPr>
      <w:rFonts w:ascii="Consolas" w:eastAsiaTheme="minorEastAsia" w:hAnsi="Consolas" w:cs="Consolas"/>
      <w:sz w:val="20"/>
      <w:szCs w:val="20"/>
    </w:rPr>
  </w:style>
  <w:style w:type="table" w:styleId="Grigliamedia1">
    <w:name w:val="Medium Grid 1"/>
    <w:basedOn w:val="Tabellanormale"/>
    <w:uiPriority w:val="67"/>
    <w:semiHidden/>
    <w:rsid w:val="00653331"/>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653331"/>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653331"/>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653331"/>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653331"/>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653331"/>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653331"/>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653331"/>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653331"/>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653331"/>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65333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653331"/>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65333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653331"/>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65333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65333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65333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65333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65333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65333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65333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653331"/>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653331"/>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653331"/>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653331"/>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653331"/>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653331"/>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653331"/>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653331"/>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653331"/>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653331"/>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65333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653331"/>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65333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653331"/>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653331"/>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653331"/>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653331"/>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653331"/>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653331"/>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653331"/>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653331"/>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65333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65333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65333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65333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65333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65333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65333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65333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653331"/>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8"/>
    <w:semiHidden/>
    <w:rsid w:val="00653331"/>
    <w:rPr>
      <w:rFonts w:ascii="Times New Roman" w:hAnsi="Times New Roman" w:cs="Times New Roman"/>
    </w:rPr>
  </w:style>
  <w:style w:type="paragraph" w:styleId="Rientronormale">
    <w:name w:val="Normal Indent"/>
    <w:basedOn w:val="Normale"/>
    <w:uiPriority w:val="98"/>
    <w:semiHidden/>
    <w:rsid w:val="00653331"/>
    <w:pPr>
      <w:ind w:left="720"/>
    </w:pPr>
  </w:style>
  <w:style w:type="paragraph" w:styleId="Intestazionenota">
    <w:name w:val="Note Heading"/>
    <w:basedOn w:val="Normale"/>
    <w:next w:val="Normale"/>
    <w:link w:val="IntestazionenotaCarattere"/>
    <w:uiPriority w:val="98"/>
    <w:semiHidden/>
    <w:rsid w:val="00653331"/>
  </w:style>
  <w:style w:type="character" w:customStyle="1" w:styleId="IntestazionenotaCarattere">
    <w:name w:val="Intestazione nota Carattere"/>
    <w:basedOn w:val="Carpredefinitoparagrafo"/>
    <w:link w:val="Intestazionenota"/>
    <w:uiPriority w:val="98"/>
    <w:semiHidden/>
    <w:rsid w:val="00653331"/>
    <w:rPr>
      <w:sz w:val="24"/>
      <w:szCs w:val="24"/>
      <w:lang w:val="fr-FR"/>
    </w:rPr>
  </w:style>
  <w:style w:type="character" w:styleId="Testosegnaposto">
    <w:name w:val="Placeholder Text"/>
    <w:basedOn w:val="Carpredefinitoparagrafo"/>
    <w:uiPriority w:val="98"/>
    <w:semiHidden/>
    <w:rsid w:val="00653331"/>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653331"/>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653331"/>
    <w:rPr>
      <w:rFonts w:ascii="Consolas" w:hAnsi="Consolas" w:cs="Consolas"/>
      <w:sz w:val="21"/>
      <w:szCs w:val="21"/>
      <w:lang w:val="fr-FR"/>
    </w:rPr>
  </w:style>
  <w:style w:type="paragraph" w:styleId="Formuladiapertura">
    <w:name w:val="Salutation"/>
    <w:basedOn w:val="Normale"/>
    <w:next w:val="Normale"/>
    <w:link w:val="FormuladiaperturaCarattere"/>
    <w:uiPriority w:val="98"/>
    <w:semiHidden/>
    <w:rsid w:val="00653331"/>
  </w:style>
  <w:style w:type="character" w:customStyle="1" w:styleId="FormuladiaperturaCarattere">
    <w:name w:val="Formula di apertura Carattere"/>
    <w:basedOn w:val="Carpredefinitoparagrafo"/>
    <w:link w:val="Formuladiapertura"/>
    <w:uiPriority w:val="98"/>
    <w:semiHidden/>
    <w:rsid w:val="00653331"/>
    <w:rPr>
      <w:sz w:val="24"/>
      <w:szCs w:val="24"/>
      <w:lang w:val="fr-FR"/>
    </w:rPr>
  </w:style>
  <w:style w:type="paragraph" w:styleId="Firma">
    <w:name w:val="Signature"/>
    <w:basedOn w:val="Normale"/>
    <w:link w:val="FirmaCarattere"/>
    <w:uiPriority w:val="98"/>
    <w:semiHidden/>
    <w:rsid w:val="00653331"/>
    <w:pPr>
      <w:ind w:left="4252"/>
    </w:pPr>
  </w:style>
  <w:style w:type="character" w:customStyle="1" w:styleId="FirmaCarattere">
    <w:name w:val="Firma Carattere"/>
    <w:basedOn w:val="Carpredefinitoparagrafo"/>
    <w:link w:val="Firma"/>
    <w:uiPriority w:val="98"/>
    <w:semiHidden/>
    <w:rsid w:val="00653331"/>
    <w:rPr>
      <w:sz w:val="24"/>
      <w:szCs w:val="24"/>
      <w:lang w:val="fr-FR"/>
    </w:rPr>
  </w:style>
  <w:style w:type="table" w:styleId="Tabellaeffetti3D1">
    <w:name w:val="Table 3D effects 1"/>
    <w:basedOn w:val="Tabellanormale"/>
    <w:uiPriority w:val="99"/>
    <w:semiHidden/>
    <w:unhideWhenUsed/>
    <w:rsid w:val="00653331"/>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3331"/>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3331"/>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653331"/>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3331"/>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3331"/>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3331"/>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653331"/>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3331"/>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3331"/>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653331"/>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3331"/>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3331"/>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3331"/>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3331"/>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653331"/>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653331"/>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65333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53331"/>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53331"/>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53331"/>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53331"/>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53331"/>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53331"/>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53331"/>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653331"/>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53331"/>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53331"/>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53331"/>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5333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53331"/>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53331"/>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53331"/>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653331"/>
    <w:pPr>
      <w:ind w:left="240" w:hanging="240"/>
    </w:pPr>
  </w:style>
  <w:style w:type="paragraph" w:styleId="Indicedellefigure">
    <w:name w:val="table of figures"/>
    <w:basedOn w:val="Normale"/>
    <w:next w:val="Normale"/>
    <w:uiPriority w:val="98"/>
    <w:semiHidden/>
    <w:rsid w:val="00653331"/>
  </w:style>
  <w:style w:type="table" w:styleId="Tabellaprofessionale">
    <w:name w:val="Table Professional"/>
    <w:basedOn w:val="Tabellanormale"/>
    <w:uiPriority w:val="99"/>
    <w:semiHidden/>
    <w:unhideWhenUsed/>
    <w:rsid w:val="0065333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653331"/>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3331"/>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3331"/>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3331"/>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653331"/>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3331"/>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653331"/>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3331"/>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653331"/>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653331"/>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653331"/>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653331"/>
    <w:pPr>
      <w:spacing w:after="100"/>
      <w:ind w:left="1680"/>
    </w:pPr>
  </w:style>
  <w:style w:type="paragraph" w:styleId="Sommario9">
    <w:name w:val="toc 9"/>
    <w:basedOn w:val="Normale"/>
    <w:next w:val="Normale"/>
    <w:autoRedefine/>
    <w:uiPriority w:val="98"/>
    <w:semiHidden/>
    <w:rsid w:val="00653331"/>
    <w:pPr>
      <w:spacing w:after="100"/>
      <w:ind w:left="1920"/>
    </w:pPr>
  </w:style>
  <w:style w:type="paragraph" w:customStyle="1" w:styleId="ECHRFooter">
    <w:name w:val="ECHR_Footer"/>
    <w:aliases w:val="Footer_ECHR"/>
    <w:basedOn w:val="Pidipagina"/>
    <w:uiPriority w:val="30"/>
    <w:rsid w:val="00893F30"/>
    <w:rPr>
      <w:sz w:val="8"/>
    </w:rPr>
  </w:style>
  <w:style w:type="paragraph" w:customStyle="1" w:styleId="ECHRFooterLine">
    <w:name w:val="ECHR_Footer_Line"/>
    <w:aliases w:val="_Footer_Line"/>
    <w:basedOn w:val="Normale"/>
    <w:next w:val="Normale"/>
    <w:uiPriority w:val="29"/>
    <w:rsid w:val="00653331"/>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653331"/>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653331"/>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rsid w:val="00653331"/>
    <w:pPr>
      <w:tabs>
        <w:tab w:val="center" w:pos="6146"/>
        <w:tab w:val="right" w:pos="13778"/>
      </w:tabs>
      <w:ind w:left="-1474" w:right="-1474"/>
    </w:pPr>
  </w:style>
  <w:style w:type="paragraph" w:customStyle="1" w:styleId="ECHRBullet1">
    <w:name w:val="ECHR_Bullet_1"/>
    <w:aliases w:val="_Bul_1"/>
    <w:basedOn w:val="NormalJustified"/>
    <w:uiPriority w:val="23"/>
    <w:qFormat/>
    <w:rsid w:val="00653331"/>
    <w:pPr>
      <w:numPr>
        <w:numId w:val="7"/>
      </w:numPr>
      <w:spacing w:before="60" w:after="60"/>
    </w:pPr>
  </w:style>
  <w:style w:type="paragraph" w:customStyle="1" w:styleId="ECHRBullet2">
    <w:name w:val="ECHR_Bullet_2"/>
    <w:aliases w:val="_Bul_2"/>
    <w:basedOn w:val="ECHRBullet1"/>
    <w:uiPriority w:val="23"/>
    <w:rsid w:val="00653331"/>
    <w:pPr>
      <w:numPr>
        <w:ilvl w:val="1"/>
      </w:numPr>
    </w:pPr>
  </w:style>
  <w:style w:type="paragraph" w:customStyle="1" w:styleId="ECHRBullet3">
    <w:name w:val="ECHR_Bullet_3"/>
    <w:aliases w:val="_Bul_3"/>
    <w:basedOn w:val="ECHRBullet2"/>
    <w:uiPriority w:val="23"/>
    <w:rsid w:val="00653331"/>
    <w:pPr>
      <w:numPr>
        <w:ilvl w:val="2"/>
      </w:numPr>
    </w:pPr>
  </w:style>
  <w:style w:type="paragraph" w:customStyle="1" w:styleId="ECHRBullet4">
    <w:name w:val="ECHR_Bullet_4"/>
    <w:aliases w:val="_Bul_4"/>
    <w:basedOn w:val="ECHRBullet3"/>
    <w:uiPriority w:val="23"/>
    <w:rsid w:val="00653331"/>
    <w:pPr>
      <w:numPr>
        <w:ilvl w:val="3"/>
      </w:numPr>
    </w:pPr>
  </w:style>
  <w:style w:type="paragraph" w:customStyle="1" w:styleId="ECHRConfidential">
    <w:name w:val="ECHR_Confidential"/>
    <w:aliases w:val="_Confidential"/>
    <w:basedOn w:val="Normale"/>
    <w:next w:val="Normale"/>
    <w:uiPriority w:val="42"/>
    <w:qFormat/>
    <w:rsid w:val="00653331"/>
    <w:pPr>
      <w:jc w:val="right"/>
    </w:pPr>
    <w:rPr>
      <w:color w:val="C00000"/>
      <w:sz w:val="20"/>
    </w:rPr>
  </w:style>
  <w:style w:type="paragraph" w:customStyle="1" w:styleId="ECHRDecisionBody">
    <w:name w:val="ECHR_Decision_Body"/>
    <w:aliases w:val="_Decision_Body"/>
    <w:basedOn w:val="NormalJustified"/>
    <w:uiPriority w:val="54"/>
    <w:semiHidden/>
    <w:rsid w:val="00653331"/>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qFormat/>
    <w:rsid w:val="00653331"/>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rsid w:val="00653331"/>
    <w:rPr>
      <w:rFonts w:ascii="Arial" w:hAnsi="Arial"/>
      <w:i/>
      <w:color w:val="002856"/>
      <w:sz w:val="32"/>
      <w:szCs w:val="24"/>
      <w:lang w:val="fr-FR"/>
    </w:rPr>
  </w:style>
  <w:style w:type="paragraph" w:customStyle="1" w:styleId="ECHRFooterLineLandscape">
    <w:name w:val="ECHR_Footer_Line_Landscape"/>
    <w:aliases w:val="_Footer_Line_Landscape"/>
    <w:basedOn w:val="Normale"/>
    <w:uiPriority w:val="29"/>
    <w:rsid w:val="00653331"/>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qFormat/>
    <w:rsid w:val="00653331"/>
    <w:pPr>
      <w:jc w:val="right"/>
    </w:pPr>
    <w:rPr>
      <w:sz w:val="20"/>
    </w:rPr>
  </w:style>
  <w:style w:type="paragraph" w:customStyle="1" w:styleId="ECHRHeaderRefIt">
    <w:name w:val="ECHR_Header_Ref_It"/>
    <w:aliases w:val="_Ref_Ital"/>
    <w:basedOn w:val="Normale"/>
    <w:next w:val="ECHRHeaderDate"/>
    <w:uiPriority w:val="43"/>
    <w:qFormat/>
    <w:rsid w:val="00653331"/>
    <w:pPr>
      <w:jc w:val="right"/>
    </w:pPr>
    <w:rPr>
      <w:i/>
      <w:sz w:val="20"/>
    </w:rPr>
  </w:style>
  <w:style w:type="paragraph" w:customStyle="1" w:styleId="ECHRHeading9">
    <w:name w:val="ECHR_Heading_9"/>
    <w:aliases w:val="_Head_9"/>
    <w:basedOn w:val="Titolo9"/>
    <w:uiPriority w:val="17"/>
    <w:rsid w:val="00653331"/>
    <w:pPr>
      <w:keepNext/>
      <w:keepLines/>
      <w:numPr>
        <w:ilvl w:val="8"/>
        <w:numId w:val="3"/>
      </w:numPr>
      <w:spacing w:before="100" w:beforeAutospacing="1"/>
      <w:contextualSpacing/>
      <w:jc w:val="both"/>
    </w:pPr>
    <w:rPr>
      <w:i w:val="0"/>
      <w:sz w:val="18"/>
    </w:rPr>
  </w:style>
  <w:style w:type="paragraph" w:customStyle="1" w:styleId="ECHRLine">
    <w:name w:val="ECHR_Line"/>
    <w:aliases w:val="_Line"/>
    <w:basedOn w:val="NormalJustified"/>
    <w:next w:val="Normale"/>
    <w:uiPriority w:val="46"/>
    <w:rsid w:val="00653331"/>
    <w:pPr>
      <w:pBdr>
        <w:bottom w:val="single" w:sz="12" w:space="1" w:color="949494" w:themeColor="text2" w:themeShade="BF"/>
      </w:pBdr>
      <w:spacing w:after="120"/>
    </w:pPr>
    <w:rPr>
      <w:sz w:val="12"/>
    </w:rPr>
  </w:style>
  <w:style w:type="paragraph" w:customStyle="1" w:styleId="ECHRNumberedList1">
    <w:name w:val="ECHR_Numbered_List_1"/>
    <w:aliases w:val="_Num_1"/>
    <w:basedOn w:val="Normale"/>
    <w:uiPriority w:val="23"/>
    <w:qFormat/>
    <w:rsid w:val="00653331"/>
    <w:pPr>
      <w:numPr>
        <w:numId w:val="9"/>
      </w:numPr>
      <w:spacing w:before="60" w:after="60"/>
    </w:pPr>
  </w:style>
  <w:style w:type="paragraph" w:customStyle="1" w:styleId="ECHRNumberedList2">
    <w:name w:val="ECHR_Numbered_List_2"/>
    <w:aliases w:val="_Num_2"/>
    <w:basedOn w:val="ECHRNumberedList1"/>
    <w:uiPriority w:val="23"/>
    <w:rsid w:val="00653331"/>
    <w:pPr>
      <w:numPr>
        <w:ilvl w:val="1"/>
      </w:numPr>
    </w:pPr>
  </w:style>
  <w:style w:type="paragraph" w:customStyle="1" w:styleId="ECHRNumberedList3">
    <w:name w:val="ECHR_Numbered_List_3"/>
    <w:aliases w:val="_Num_3"/>
    <w:basedOn w:val="ECHRNumberedList2"/>
    <w:uiPriority w:val="23"/>
    <w:rsid w:val="00653331"/>
    <w:pPr>
      <w:numPr>
        <w:ilvl w:val="2"/>
      </w:numPr>
    </w:pPr>
  </w:style>
  <w:style w:type="paragraph" w:customStyle="1" w:styleId="ECHRParaHanging">
    <w:name w:val="ECHR_Para_Hanging"/>
    <w:aliases w:val="_Hanging"/>
    <w:basedOn w:val="Normale"/>
    <w:uiPriority w:val="8"/>
    <w:qFormat/>
    <w:rsid w:val="00653331"/>
    <w:pPr>
      <w:ind w:left="567" w:hanging="567"/>
      <w:jc w:val="both"/>
    </w:pPr>
  </w:style>
  <w:style w:type="paragraph" w:customStyle="1" w:styleId="ECHRParaIndent">
    <w:name w:val="ECHR_Para_Indent"/>
    <w:aliases w:val="_Indent"/>
    <w:basedOn w:val="Normale"/>
    <w:uiPriority w:val="7"/>
    <w:qFormat/>
    <w:rsid w:val="00653331"/>
    <w:pPr>
      <w:spacing w:before="120" w:after="120"/>
      <w:ind w:left="567"/>
      <w:jc w:val="both"/>
    </w:pPr>
  </w:style>
  <w:style w:type="character" w:customStyle="1" w:styleId="ECHRRed">
    <w:name w:val="ECHR_Red"/>
    <w:aliases w:val="_Red"/>
    <w:basedOn w:val="Carpredefinitoparagrafo"/>
    <w:uiPriority w:val="15"/>
    <w:qFormat/>
    <w:rsid w:val="00653331"/>
    <w:rPr>
      <w:color w:val="C00000" w:themeColor="accent2"/>
    </w:rPr>
  </w:style>
  <w:style w:type="paragraph" w:customStyle="1" w:styleId="DecList">
    <w:name w:val="Dec_List"/>
    <w:aliases w:val="_List"/>
    <w:basedOn w:val="JuList"/>
    <w:uiPriority w:val="22"/>
    <w:rsid w:val="00653331"/>
    <w:pPr>
      <w:numPr>
        <w:numId w:val="0"/>
      </w:numPr>
      <w:ind w:left="284"/>
    </w:pPr>
  </w:style>
  <w:style w:type="table" w:customStyle="1" w:styleId="ECHRTable2">
    <w:name w:val="ECHR_Table_2"/>
    <w:basedOn w:val="Tabellanormale"/>
    <w:uiPriority w:val="99"/>
    <w:rsid w:val="00653331"/>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653331"/>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qFormat/>
    <w:rsid w:val="00653331"/>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qFormat/>
    <w:rsid w:val="00653331"/>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qFormat/>
    <w:rsid w:val="00653331"/>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qFormat/>
    <w:rsid w:val="00653331"/>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qFormat/>
    <w:rsid w:val="00653331"/>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qFormat/>
    <w:rsid w:val="00653331"/>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qFormat/>
    <w:rsid w:val="00653331"/>
    <w:pPr>
      <w:outlineLvl w:val="0"/>
    </w:pPr>
  </w:style>
  <w:style w:type="paragraph" w:customStyle="1" w:styleId="ECHRTitleTOC1">
    <w:name w:val="ECHR_Title_TOC_1"/>
    <w:aliases w:val="_Title_L_TOC"/>
    <w:basedOn w:val="ECHRTitle1"/>
    <w:next w:val="Normale"/>
    <w:uiPriority w:val="27"/>
    <w:qFormat/>
    <w:rsid w:val="00653331"/>
    <w:pPr>
      <w:outlineLvl w:val="0"/>
    </w:pPr>
  </w:style>
  <w:style w:type="paragraph" w:customStyle="1" w:styleId="ECHRPlaceholder">
    <w:name w:val="ECHR_Placeholder"/>
    <w:aliases w:val="_Placeholder"/>
    <w:basedOn w:val="JuSigned"/>
    <w:uiPriority w:val="31"/>
    <w:rsid w:val="00653331"/>
    <w:rPr>
      <w:color w:val="FFFFFF"/>
    </w:rPr>
  </w:style>
  <w:style w:type="paragraph" w:customStyle="1" w:styleId="ECHRSpacer">
    <w:name w:val="ECHR_Spacer"/>
    <w:aliases w:val="_Spacer"/>
    <w:basedOn w:val="Normale"/>
    <w:uiPriority w:val="45"/>
    <w:rsid w:val="00653331"/>
    <w:rPr>
      <w:sz w:val="4"/>
    </w:rPr>
  </w:style>
  <w:style w:type="table" w:customStyle="1" w:styleId="ECHRTableGrey">
    <w:name w:val="ECHR_Table_Grey"/>
    <w:basedOn w:val="Tabellanormale"/>
    <w:uiPriority w:val="99"/>
    <w:rsid w:val="00653331"/>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ParaChar">
    <w:name w:val="Ju_Para Char"/>
    <w:aliases w:val="_Para Char"/>
    <w:link w:val="JuPara"/>
    <w:uiPriority w:val="4"/>
    <w:rsid w:val="007F7726"/>
    <w:rPr>
      <w:sz w:val="24"/>
      <w:szCs w:val="24"/>
      <w:lang w:val="fr-FR"/>
    </w:rPr>
  </w:style>
  <w:style w:type="character" w:customStyle="1" w:styleId="JuNames0">
    <w:name w:val="Ju_Names"/>
    <w:uiPriority w:val="33"/>
    <w:rsid w:val="007F7726"/>
    <w:rPr>
      <w:smallCaps/>
    </w:rPr>
  </w:style>
  <w:style w:type="paragraph" w:customStyle="1" w:styleId="JuList4">
    <w:name w:val="Ju_List_4"/>
    <w:aliases w:val="N_Bul_4"/>
    <w:basedOn w:val="JuListi"/>
    <w:uiPriority w:val="19"/>
    <w:rsid w:val="007F7726"/>
    <w:pPr>
      <w:numPr>
        <w:ilvl w:val="0"/>
        <w:numId w:val="0"/>
      </w:numPr>
      <w:tabs>
        <w:tab w:val="num" w:pos="1701"/>
      </w:tabs>
      <w:spacing w:before="60" w:after="60" w:line="240" w:lineRule="exact"/>
      <w:ind w:left="1703" w:hanging="284"/>
      <w:contextualSpacing/>
    </w:pPr>
    <w:rPr>
      <w:sz w:val="22"/>
      <w:lang w:eastAsia="fr-FR"/>
    </w:rPr>
  </w:style>
  <w:style w:type="character" w:customStyle="1" w:styleId="Menzionenonrisolta1">
    <w:name w:val="Menzione non risolta1"/>
    <w:basedOn w:val="Carpredefinitoparagrafo"/>
    <w:uiPriority w:val="99"/>
    <w:semiHidden/>
    <w:unhideWhenUsed/>
    <w:rsid w:val="007F7726"/>
    <w:rPr>
      <w:color w:val="605E5C"/>
      <w:shd w:val="clear" w:color="auto" w:fill="E1DFDD"/>
    </w:rPr>
  </w:style>
  <w:style w:type="table" w:styleId="Tabellagriglia1chiara">
    <w:name w:val="Grid Table 1 Light"/>
    <w:basedOn w:val="Tabellanormale"/>
    <w:uiPriority w:val="46"/>
    <w:semiHidden/>
    <w:rsid w:val="007F772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7F7726"/>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customStyle="1" w:styleId="UGTable1">
    <w:name w:val="UG_Table1"/>
    <w:basedOn w:val="Tabellanormale"/>
    <w:uiPriority w:val="99"/>
    <w:rsid w:val="007F7726"/>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paragraph" w:styleId="Revisione">
    <w:name w:val="Revision"/>
    <w:hidden/>
    <w:uiPriority w:val="99"/>
    <w:semiHidden/>
    <w:rsid w:val="007F7726"/>
    <w:rPr>
      <w:sz w:val="24"/>
      <w:szCs w:val="24"/>
      <w:lang w:val="fr-FR"/>
    </w:rPr>
  </w:style>
  <w:style w:type="table" w:styleId="Tabellagriglia1chiara-colore2">
    <w:name w:val="Grid Table 1 Light Accent 2"/>
    <w:basedOn w:val="Tabellanormale"/>
    <w:uiPriority w:val="46"/>
    <w:semiHidden/>
    <w:rsid w:val="007F7726"/>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7F7726"/>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7F7726"/>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7F7726"/>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7F7726"/>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7F772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7F7726"/>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7F7726"/>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7F7726"/>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7F7726"/>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7F7726"/>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7F7726"/>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7F772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7F7726"/>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7F7726"/>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7F7726"/>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7F7726"/>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7F7726"/>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7F7726"/>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7F772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7F7726"/>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7F7726"/>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7F7726"/>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7F7726"/>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7F7726"/>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7F7726"/>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7F772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7F772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7F772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7F772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7F772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7F772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7F772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7F772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7F7726"/>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7F7726"/>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7F7726"/>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7F7726"/>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7F7726"/>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7F7726"/>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7F772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7F7726"/>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7F7726"/>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7F7726"/>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7F7726"/>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7F7726"/>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7F7726"/>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7F7726"/>
    <w:rPr>
      <w:color w:val="2B579A"/>
      <w:shd w:val="clear" w:color="auto" w:fill="E1DFDD"/>
    </w:rPr>
  </w:style>
  <w:style w:type="table" w:styleId="Tabellaelenco1chiara">
    <w:name w:val="List Table 1 Light"/>
    <w:basedOn w:val="Tabellanormale"/>
    <w:uiPriority w:val="46"/>
    <w:semiHidden/>
    <w:rsid w:val="007F772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7F7726"/>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7F7726"/>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7F7726"/>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7F7726"/>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7F7726"/>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7F7726"/>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7F7726"/>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7F7726"/>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7F7726"/>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7F7726"/>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7F7726"/>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7F7726"/>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7F7726"/>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7F772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7F7726"/>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7F7726"/>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7F7726"/>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7F7726"/>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7F7726"/>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7F7726"/>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7F772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7F7726"/>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7F7726"/>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7F7726"/>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7F7726"/>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7F7726"/>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7F7726"/>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7F7726"/>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7F7726"/>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7F7726"/>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7F7726"/>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7F7726"/>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7F7726"/>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7F7726"/>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7F772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7F7726"/>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7F7726"/>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7F7726"/>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7F7726"/>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7F7726"/>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7F7726"/>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7F7726"/>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7F7726"/>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7F7726"/>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7F7726"/>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7F7726"/>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7F7726"/>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7F7726"/>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7F7726"/>
    <w:rPr>
      <w:color w:val="2B579A"/>
      <w:shd w:val="clear" w:color="auto" w:fill="E1DFDD"/>
    </w:rPr>
  </w:style>
  <w:style w:type="table" w:styleId="Tabellasemplice-1">
    <w:name w:val="Plain Table 1"/>
    <w:basedOn w:val="Tabellanormale"/>
    <w:uiPriority w:val="41"/>
    <w:semiHidden/>
    <w:rsid w:val="007F7726"/>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7F772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7F772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7F772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7F772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7F7726"/>
    <w:rPr>
      <w:u w:val="dotted"/>
    </w:rPr>
  </w:style>
  <w:style w:type="character" w:customStyle="1" w:styleId="SmartLink">
    <w:name w:val="Smart Link"/>
    <w:basedOn w:val="Carpredefinitoparagrafo"/>
    <w:uiPriority w:val="99"/>
    <w:semiHidden/>
    <w:unhideWhenUsed/>
    <w:rsid w:val="007F7726"/>
    <w:rPr>
      <w:color w:val="0000FF"/>
      <w:u w:val="single"/>
      <w:shd w:val="clear" w:color="auto" w:fill="F3F2F1"/>
    </w:rPr>
  </w:style>
  <w:style w:type="table" w:styleId="Grigliatabellachiara">
    <w:name w:val="Grid Table Light"/>
    <w:basedOn w:val="Tabellanormale"/>
    <w:uiPriority w:val="40"/>
    <w:semiHidden/>
    <w:rsid w:val="007F7726"/>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paragraph" w:customStyle="1" w:styleId="JuListaList2">
    <w:name w:val="Ju_List_a;_List2"/>
    <w:basedOn w:val="JuLista"/>
    <w:rsid w:val="007F7726"/>
    <w:pPr>
      <w:numPr>
        <w:ilvl w:val="0"/>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hudoc.echr.coe.int/eng" TargetMode="External"/><Relationship Id="rId26" Type="http://schemas.openxmlformats.org/officeDocument/2006/relationships/hyperlink" Target="http://hudoc.echr.coe.int/eng" TargetMode="External"/><Relationship Id="rId39" Type="http://schemas.openxmlformats.org/officeDocument/2006/relationships/fontTable" Target="fontTable.xml"/><Relationship Id="rId21" Type="http://schemas.openxmlformats.org/officeDocument/2006/relationships/hyperlink" Target="https://hudoc.echr.coe.int/eng" TargetMode="External"/><Relationship Id="rId34" Type="http://schemas.openxmlformats.org/officeDocument/2006/relationships/hyperlink" Target="https://hudoc.echr.coe.int/eng"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hudoc.echr.coe.int/eng" TargetMode="External"/><Relationship Id="rId25" Type="http://schemas.openxmlformats.org/officeDocument/2006/relationships/hyperlink" Target="http://hudoc.echr.coe.int/eng" TargetMode="External"/><Relationship Id="rId33" Type="http://schemas.openxmlformats.org/officeDocument/2006/relationships/hyperlink" Target="https://hudoc.echr.coe.int/eng" TargetMode="Externa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hudoc.echr.coe.int/eng" TargetMode="External"/><Relationship Id="rId29" Type="http://schemas.openxmlformats.org/officeDocument/2006/relationships/hyperlink" Target="http://hudoc.echr.coe.int/e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hudoc.echr.coe.int/eng" TargetMode="External"/><Relationship Id="rId32" Type="http://schemas.openxmlformats.org/officeDocument/2006/relationships/hyperlink" Target="https://hudoc.echr.coe.int/eng" TargetMode="External"/><Relationship Id="rId37" Type="http://schemas.openxmlformats.org/officeDocument/2006/relationships/header" Target="header5.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hudoc.echr.coe.int/eng" TargetMode="External"/><Relationship Id="rId28" Type="http://schemas.openxmlformats.org/officeDocument/2006/relationships/hyperlink" Target="http://hudoc.echr.coe.int/eng" TargetMode="External"/><Relationship Id="rId36"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hudoc.echr.coe.int/eng" TargetMode="External"/><Relationship Id="rId31" Type="http://schemas.openxmlformats.org/officeDocument/2006/relationships/hyperlink" Target="http://hudoc.echr.coe.int/e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hudoc.echr.coe.int/eng" TargetMode="External"/><Relationship Id="rId27" Type="http://schemas.openxmlformats.org/officeDocument/2006/relationships/hyperlink" Target="http://hudoc.echr.coe.int/eng" TargetMode="External"/><Relationship Id="rId30" Type="http://schemas.openxmlformats.org/officeDocument/2006/relationships/hyperlink" Target="http://hudoc.echr.coe.int/eng" TargetMode="External"/><Relationship Id="rId35" Type="http://schemas.openxmlformats.org/officeDocument/2006/relationships/hyperlink" Target="https://hudoc.echr.coe.int/eng"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C96AD-FFBC-4010-8C59-6360143D2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9B149ED-F8EA-45E1-8432-7DA92FEDA0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79C4BE-3EF9-42D6-8DB3-9F2B341C9C18}">
  <ds:schemaRefs>
    <ds:schemaRef ds:uri="http://schemas.microsoft.com/sharepoint/v3/contenttype/forms"/>
  </ds:schemaRefs>
</ds:datastoreItem>
</file>

<file path=customXml/itemProps4.xml><?xml version="1.0" encoding="utf-8"?>
<ds:datastoreItem xmlns:ds="http://schemas.openxmlformats.org/officeDocument/2006/customXml" ds:itemID="{F17CA57A-DA43-4CB3-B414-292D9111C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7243</Words>
  <Characters>41290</Characters>
  <Application>Microsoft Office Word</Application>
  <DocSecurity>0</DocSecurity>
  <Lines>344</Lines>
  <Paragraphs>96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48437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JUDF</dc:subject>
  <dc:creator/>
  <cp:keywords/>
  <cp:lastModifiedBy/>
  <cp:revision>1</cp:revision>
  <dcterms:created xsi:type="dcterms:W3CDTF">2021-09-24T08:29:00Z</dcterms:created>
  <dcterms:modified xsi:type="dcterms:W3CDTF">2021-09-24T08:29:00Z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40910/19</vt:lpwstr>
  </property>
  <property fmtid="{D5CDD505-2E9C-101B-9397-08002B2CF9AE}" pid="4" name="CASEID">
    <vt:lpwstr>1468936</vt:lpwstr>
  </property>
  <property fmtid="{D5CDD505-2E9C-101B-9397-08002B2CF9AE}" pid="5" name="ContentTypeId">
    <vt:lpwstr>0x010100558EB02BDB9E204AB350EDD385B68E10</vt:lpwstr>
  </property>
</Properties>
</file>